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9B005" w14:textId="77777777" w:rsidR="00212674" w:rsidRPr="005B5F13" w:rsidRDefault="00212674" w:rsidP="00212674">
      <w:pPr>
        <w:jc w:val="center"/>
        <w:rPr>
          <w:b/>
        </w:rPr>
      </w:pPr>
      <w:r w:rsidRPr="005B5F13">
        <w:rPr>
          <w:b/>
        </w:rPr>
        <w:t xml:space="preserve">Long Term Equity Investment Account </w:t>
      </w:r>
      <w:r w:rsidR="002417AF">
        <w:rPr>
          <w:b/>
        </w:rPr>
        <w:t>Agreement</w:t>
      </w:r>
    </w:p>
    <w:p w14:paraId="3BE27DF8" w14:textId="082118FB" w:rsidR="00212674" w:rsidRPr="005B5F13" w:rsidRDefault="00212674" w:rsidP="00212674">
      <w:pPr>
        <w:jc w:val="center"/>
        <w:rPr>
          <w:b/>
        </w:rPr>
      </w:pPr>
      <w:r w:rsidRPr="005B5F13">
        <w:rPr>
          <w:b/>
        </w:rPr>
        <w:t>between</w:t>
      </w:r>
      <w:r w:rsidR="00F7587C">
        <w:rPr>
          <w:b/>
        </w:rPr>
        <w:t xml:space="preserve"> </w:t>
      </w:r>
      <w:r w:rsidRPr="005B5F13">
        <w:rPr>
          <w:b/>
        </w:rPr>
        <w:t xml:space="preserve">[insert name of </w:t>
      </w:r>
      <w:r w:rsidR="00AC6E1A">
        <w:rPr>
          <w:b/>
        </w:rPr>
        <w:t>Investor Government</w:t>
      </w:r>
      <w:r w:rsidRPr="005B5F13">
        <w:rPr>
          <w:b/>
        </w:rPr>
        <w:t>]and</w:t>
      </w:r>
    </w:p>
    <w:p w14:paraId="7B0757E0" w14:textId="77777777" w:rsidR="00212674" w:rsidRPr="005B5F13" w:rsidRDefault="00212674" w:rsidP="00212674">
      <w:pPr>
        <w:jc w:val="center"/>
        <w:rPr>
          <w:b/>
        </w:rPr>
      </w:pPr>
      <w:r w:rsidRPr="005B5F13">
        <w:rPr>
          <w:b/>
        </w:rPr>
        <w:t xml:space="preserve">Public Employees Retirement Association of Minnesota </w:t>
      </w:r>
    </w:p>
    <w:p w14:paraId="63C322D6" w14:textId="77777777" w:rsidR="00A9290C" w:rsidRPr="005B5F13" w:rsidRDefault="00A9290C" w:rsidP="0075542D">
      <w:pPr>
        <w:jc w:val="center"/>
        <w:rPr>
          <w:b/>
        </w:rPr>
      </w:pPr>
    </w:p>
    <w:p w14:paraId="501C4C53" w14:textId="77777777" w:rsidR="0075542D" w:rsidRPr="005B5F13" w:rsidRDefault="0075542D" w:rsidP="00212674">
      <w:pPr>
        <w:jc w:val="both"/>
      </w:pPr>
      <w:r w:rsidRPr="005B5F13">
        <w:t xml:space="preserve">This </w:t>
      </w:r>
      <w:r w:rsidR="002417AF">
        <w:t xml:space="preserve">account </w:t>
      </w:r>
      <w:r w:rsidR="009E036D">
        <w:t>Agreement</w:t>
      </w:r>
      <w:r w:rsidR="002417AF">
        <w:t xml:space="preserve"> (“</w:t>
      </w:r>
      <w:r w:rsidR="009E036D">
        <w:t>Agreement</w:t>
      </w:r>
      <w:r w:rsidR="002417AF">
        <w:t>”)</w:t>
      </w:r>
      <w:r w:rsidR="00212674" w:rsidRPr="005B5F13">
        <w:t xml:space="preserve"> is between</w:t>
      </w:r>
      <w:r w:rsidRPr="005B5F13">
        <w:t xml:space="preserve"> </w:t>
      </w:r>
      <w:r w:rsidR="00890240" w:rsidRPr="005B5F13">
        <w:t>[</w:t>
      </w:r>
      <w:r w:rsidR="00212674" w:rsidRPr="005B5F13">
        <w:t>name of political subdivision</w:t>
      </w:r>
      <w:r w:rsidR="00890240" w:rsidRPr="005B5F13">
        <w:t>]</w:t>
      </w:r>
      <w:r w:rsidR="002F121E" w:rsidRPr="005B5F13">
        <w:t xml:space="preserve"> </w:t>
      </w:r>
      <w:r w:rsidR="008524CD">
        <w:t>(“</w:t>
      </w:r>
      <w:r w:rsidR="009E036D">
        <w:t>I</w:t>
      </w:r>
      <w:r w:rsidR="00315FF1">
        <w:t xml:space="preserve">nvestor </w:t>
      </w:r>
      <w:r w:rsidR="009E036D">
        <w:t>G</w:t>
      </w:r>
      <w:r w:rsidR="00315FF1">
        <w:t>overnment</w:t>
      </w:r>
      <w:r w:rsidR="008524CD">
        <w:t xml:space="preserve">” or “you”) </w:t>
      </w:r>
      <w:r w:rsidR="002F121E" w:rsidRPr="005B5F13">
        <w:t>and the</w:t>
      </w:r>
      <w:r w:rsidRPr="005B5F13">
        <w:t xml:space="preserve"> Public Employees Retirement Association</w:t>
      </w:r>
      <w:r w:rsidR="006960D9" w:rsidRPr="005B5F13">
        <w:t xml:space="preserve"> of Minnesota</w:t>
      </w:r>
      <w:r w:rsidR="008524CD">
        <w:t xml:space="preserve"> </w:t>
      </w:r>
      <w:r w:rsidR="008524CD" w:rsidRPr="008524CD">
        <w:t>(“PERA</w:t>
      </w:r>
      <w:r w:rsidR="00457A4C">
        <w:t>,”</w:t>
      </w:r>
      <w:r w:rsidR="008524CD" w:rsidRPr="008524CD">
        <w:t xml:space="preserve"> “us”, “our”, or “we”)</w:t>
      </w:r>
      <w:r w:rsidR="008524CD">
        <w:t>.</w:t>
      </w:r>
    </w:p>
    <w:p w14:paraId="68A8EB29" w14:textId="77777777" w:rsidR="009C4C35" w:rsidRPr="005B5F13" w:rsidRDefault="009C4C35" w:rsidP="00212674">
      <w:pPr>
        <w:jc w:val="both"/>
        <w:rPr>
          <w:b/>
        </w:rPr>
      </w:pPr>
    </w:p>
    <w:p w14:paraId="33526A06" w14:textId="77777777" w:rsidR="0075542D" w:rsidRPr="005B5F13" w:rsidRDefault="00AC1A19" w:rsidP="005B5F13">
      <w:pPr>
        <w:jc w:val="center"/>
        <w:rPr>
          <w:b/>
        </w:rPr>
      </w:pPr>
      <w:r>
        <w:rPr>
          <w:b/>
        </w:rPr>
        <w:t>RECITALS</w:t>
      </w:r>
    </w:p>
    <w:p w14:paraId="7BBA31C2" w14:textId="77777777" w:rsidR="0075542D" w:rsidRPr="005B5F13" w:rsidRDefault="0075542D" w:rsidP="00212674">
      <w:pPr>
        <w:jc w:val="both"/>
        <w:rPr>
          <w:b/>
        </w:rPr>
      </w:pPr>
    </w:p>
    <w:p w14:paraId="3113C78E" w14:textId="2E34266C" w:rsidR="00E76E93" w:rsidRPr="005B5F13" w:rsidRDefault="0075542D" w:rsidP="008524CD">
      <w:pPr>
        <w:jc w:val="both"/>
      </w:pPr>
      <w:r w:rsidRPr="005B5F13">
        <w:rPr>
          <w:b/>
        </w:rPr>
        <w:t>WHEREAS</w:t>
      </w:r>
      <w:r w:rsidRPr="005B5F13">
        <w:t xml:space="preserve">, </w:t>
      </w:r>
      <w:r w:rsidR="00212674" w:rsidRPr="005B5F13">
        <w:t xml:space="preserve">Minnesota </w:t>
      </w:r>
      <w:r w:rsidR="00C4462E">
        <w:t>Statutes 118A.09</w:t>
      </w:r>
      <w:r w:rsidR="00212674" w:rsidRPr="005B5F13">
        <w:t xml:space="preserve"> (hereinafter “</w:t>
      </w:r>
      <w:r w:rsidR="005B5F13">
        <w:t>§ </w:t>
      </w:r>
      <w:r w:rsidR="00212674" w:rsidRPr="005B5F13">
        <w:t xml:space="preserve">118A.09” or “the statute”) </w:t>
      </w:r>
      <w:r w:rsidR="00E76E93" w:rsidRPr="005B5F13">
        <w:t xml:space="preserve">authorizes </w:t>
      </w:r>
      <w:r w:rsidR="00212674" w:rsidRPr="005B5F13">
        <w:t xml:space="preserve">certain </w:t>
      </w:r>
      <w:r w:rsidR="005B5F13">
        <w:t>qualifying government entities</w:t>
      </w:r>
      <w:r w:rsidR="00212674" w:rsidRPr="005B5F13">
        <w:t xml:space="preserve"> to establish</w:t>
      </w:r>
      <w:r w:rsidR="005B5F13">
        <w:t xml:space="preserve"> long term equity investment</w:t>
      </w:r>
      <w:r w:rsidR="00212674" w:rsidRPr="005B5F13">
        <w:t xml:space="preserve"> accounts </w:t>
      </w:r>
      <w:r w:rsidR="005B5F13">
        <w:t xml:space="preserve">(“the accounts”) </w:t>
      </w:r>
      <w:r w:rsidR="00212674" w:rsidRPr="005B5F13">
        <w:t>for the purposes of in</w:t>
      </w:r>
      <w:bookmarkStart w:id="0" w:name="_GoBack"/>
      <w:bookmarkEnd w:id="0"/>
      <w:r w:rsidR="00212674" w:rsidRPr="005B5F13">
        <w:t>vesting funds with the State Board of Investment (SBI) pur</w:t>
      </w:r>
      <w:r w:rsidR="005B5F13">
        <w:t xml:space="preserve">suant to the statute; and </w:t>
      </w:r>
    </w:p>
    <w:p w14:paraId="5EDB5199" w14:textId="77777777" w:rsidR="00E76E93" w:rsidRPr="005B5F13" w:rsidRDefault="00E76E93" w:rsidP="00212674">
      <w:pPr>
        <w:jc w:val="both"/>
      </w:pPr>
    </w:p>
    <w:p w14:paraId="1ED65192" w14:textId="77777777" w:rsidR="00DA3DD8" w:rsidRPr="005B5F13" w:rsidRDefault="00E76E93" w:rsidP="005B5F13">
      <w:pPr>
        <w:jc w:val="both"/>
      </w:pPr>
      <w:r w:rsidRPr="005B5F13">
        <w:rPr>
          <w:b/>
        </w:rPr>
        <w:t>WHEREAS</w:t>
      </w:r>
      <w:r w:rsidRPr="005B5F13">
        <w:t xml:space="preserve">, </w:t>
      </w:r>
      <w:r w:rsidR="005B5F13">
        <w:t xml:space="preserve">the statute provides that PERA </w:t>
      </w:r>
      <w:r w:rsidR="00315FF1">
        <w:t>shall</w:t>
      </w:r>
      <w:r w:rsidR="005B5F13">
        <w:t xml:space="preserve"> act as the account administrator for the accounts; and </w:t>
      </w:r>
    </w:p>
    <w:p w14:paraId="1F04129A" w14:textId="77777777" w:rsidR="00DA3DD8" w:rsidRPr="005B5F13" w:rsidRDefault="00DA3DD8" w:rsidP="00212674">
      <w:pPr>
        <w:jc w:val="both"/>
      </w:pPr>
    </w:p>
    <w:p w14:paraId="7A4A5923" w14:textId="77777777" w:rsidR="00146533" w:rsidRPr="005B5F13" w:rsidRDefault="0075542D" w:rsidP="00212674">
      <w:pPr>
        <w:jc w:val="both"/>
      </w:pPr>
      <w:r w:rsidRPr="005B5F13">
        <w:rPr>
          <w:b/>
        </w:rPr>
        <w:t>WHEREAS</w:t>
      </w:r>
      <w:r w:rsidRPr="005B5F13">
        <w:t xml:space="preserve">, </w:t>
      </w:r>
      <w:r w:rsidR="005B5F13">
        <w:t xml:space="preserve">the accounts must comply with the requirements of </w:t>
      </w:r>
      <w:r w:rsidR="00F7587C">
        <w:t>§ </w:t>
      </w:r>
      <w:r w:rsidR="005B5F13" w:rsidRPr="005B5F13">
        <w:t>118A.09</w:t>
      </w:r>
      <w:r w:rsidR="00457A4C">
        <w:t>;</w:t>
      </w:r>
    </w:p>
    <w:p w14:paraId="114A8097" w14:textId="77777777" w:rsidR="004270BA" w:rsidRPr="005B5F13" w:rsidRDefault="004270BA" w:rsidP="00212674">
      <w:pPr>
        <w:jc w:val="both"/>
      </w:pPr>
    </w:p>
    <w:p w14:paraId="7233D17B" w14:textId="77777777" w:rsidR="004270BA" w:rsidRPr="005B5F13" w:rsidRDefault="004270BA" w:rsidP="00212674">
      <w:pPr>
        <w:jc w:val="both"/>
      </w:pPr>
      <w:r w:rsidRPr="005B5F13">
        <w:rPr>
          <w:b/>
        </w:rPr>
        <w:t>NOW THEREFORE</w:t>
      </w:r>
      <w:r w:rsidRPr="005B5F13">
        <w:t xml:space="preserve">, </w:t>
      </w:r>
      <w:r w:rsidR="008524CD">
        <w:t>t</w:t>
      </w:r>
      <w:r w:rsidRPr="005B5F13">
        <w:t>he [</w:t>
      </w:r>
      <w:r w:rsidR="00212674" w:rsidRPr="005B5F13">
        <w:t>name of political subdivision</w:t>
      </w:r>
      <w:r w:rsidRPr="005B5F13">
        <w:t>] and PERA in consideration of the foregoing and the mutual covenants contained herein, agree as follows:</w:t>
      </w:r>
    </w:p>
    <w:p w14:paraId="48F85777" w14:textId="77777777" w:rsidR="00146533" w:rsidRPr="005B5F13" w:rsidRDefault="00146533" w:rsidP="00212674">
      <w:pPr>
        <w:jc w:val="both"/>
      </w:pPr>
    </w:p>
    <w:p w14:paraId="7A404CC4" w14:textId="77777777" w:rsidR="00146533" w:rsidRPr="005B5F13" w:rsidRDefault="00146533" w:rsidP="005B5F13">
      <w:pPr>
        <w:jc w:val="center"/>
      </w:pPr>
      <w:r w:rsidRPr="005B5F13">
        <w:rPr>
          <w:b/>
        </w:rPr>
        <w:t>AGREEMENT</w:t>
      </w:r>
    </w:p>
    <w:p w14:paraId="0FCDE18F" w14:textId="77777777" w:rsidR="00146533" w:rsidRPr="005B5F13" w:rsidRDefault="00146533" w:rsidP="00212674">
      <w:pPr>
        <w:jc w:val="both"/>
      </w:pPr>
    </w:p>
    <w:p w14:paraId="6852E338" w14:textId="77777777" w:rsidR="00146533" w:rsidRPr="005B5F13" w:rsidRDefault="00146533" w:rsidP="003A0949">
      <w:pPr>
        <w:widowControl w:val="0"/>
        <w:spacing w:after="120"/>
        <w:jc w:val="both"/>
      </w:pPr>
      <w:r w:rsidRPr="005B5F13">
        <w:rPr>
          <w:b/>
        </w:rPr>
        <w:t>1.</w:t>
      </w:r>
      <w:r w:rsidRPr="005B5F13">
        <w:rPr>
          <w:b/>
        </w:rPr>
        <w:tab/>
        <w:t>Term</w:t>
      </w:r>
      <w:r w:rsidR="004270BA" w:rsidRPr="005B5F13">
        <w:rPr>
          <w:b/>
        </w:rPr>
        <w:t>s</w:t>
      </w:r>
      <w:r w:rsidRPr="005B5F13">
        <w:rPr>
          <w:b/>
        </w:rPr>
        <w:t xml:space="preserve"> of </w:t>
      </w:r>
      <w:r w:rsidR="009E036D">
        <w:rPr>
          <w:b/>
        </w:rPr>
        <w:t>Agreement</w:t>
      </w:r>
      <w:r w:rsidR="008524CD">
        <w:rPr>
          <w:b/>
        </w:rPr>
        <w:t>:</w:t>
      </w:r>
    </w:p>
    <w:p w14:paraId="4EE3C4FE" w14:textId="773B0EAA" w:rsidR="008524CD" w:rsidRDefault="008524CD" w:rsidP="003A0949">
      <w:pPr>
        <w:widowControl w:val="0"/>
        <w:spacing w:after="120"/>
        <w:ind w:firstLine="720"/>
        <w:jc w:val="both"/>
      </w:pPr>
      <w:r>
        <w:t>1.1</w:t>
      </w:r>
      <w:r>
        <w:tab/>
        <w:t xml:space="preserve">Accuracy of the Application. </w:t>
      </w:r>
      <w:r w:rsidR="00457A4C">
        <w:t xml:space="preserve"> </w:t>
      </w:r>
      <w:r w:rsidR="00315FF1" w:rsidRPr="00315FF1">
        <w:t xml:space="preserve">By signing </w:t>
      </w:r>
      <w:r w:rsidR="009E036D">
        <w:t>this</w:t>
      </w:r>
      <w:r w:rsidR="00315FF1" w:rsidRPr="00315FF1">
        <w:t xml:space="preserve"> </w:t>
      </w:r>
      <w:r w:rsidR="009E036D">
        <w:t>Agreement</w:t>
      </w:r>
      <w:r w:rsidR="00315FF1" w:rsidRPr="00315FF1">
        <w:t xml:space="preserve"> you attest that the information that you have provided us is current, accurate, truthful, and complete, and that you meet the definition of a “qualifying government” in the statute. </w:t>
      </w:r>
      <w:r w:rsidR="00315FF1">
        <w:t xml:space="preserve"> </w:t>
      </w:r>
      <w:r w:rsidR="00315FF1" w:rsidRPr="00315FF1">
        <w:t xml:space="preserve">You also agree that each time you make a deposit into the account you are automatically recertifying that you meet the definition of a qualifying government as of the </w:t>
      </w:r>
      <w:r w:rsidR="00513A48">
        <w:t xml:space="preserve">date of the deposit. </w:t>
      </w:r>
      <w:r w:rsidR="00846594">
        <w:t xml:space="preserve"> </w:t>
      </w:r>
      <w:r w:rsidR="00513A48">
        <w:t xml:space="preserve">You agree that PERA and SBI may conclusively rely on your representations and the terms of this Agreement in accepting funds you certify for deposit in your account. </w:t>
      </w:r>
    </w:p>
    <w:p w14:paraId="13092276" w14:textId="77777777" w:rsidR="008524CD" w:rsidRDefault="008524CD" w:rsidP="003A0949">
      <w:pPr>
        <w:widowControl w:val="0"/>
        <w:spacing w:after="120"/>
        <w:ind w:firstLine="720"/>
        <w:jc w:val="both"/>
      </w:pPr>
      <w:r>
        <w:t>1.2</w:t>
      </w:r>
      <w:r>
        <w:tab/>
      </w:r>
      <w:r w:rsidR="00793D63">
        <w:t xml:space="preserve">Authorizing Resolution.  </w:t>
      </w:r>
      <w:r>
        <w:t xml:space="preserve">The </w:t>
      </w:r>
      <w:r w:rsidR="009E036D">
        <w:t>Investor Government</w:t>
      </w:r>
      <w:r>
        <w:t xml:space="preserve"> </w:t>
      </w:r>
      <w:r w:rsidR="00315FF1">
        <w:t>shall</w:t>
      </w:r>
      <w:r>
        <w:t xml:space="preserve"> provide a certified copy of its governing body’s authorizing resolution including the statements prescribed in the statute with the </w:t>
      </w:r>
      <w:r w:rsidR="009E036D">
        <w:t>Agreement</w:t>
      </w:r>
      <w:r>
        <w:t>.</w:t>
      </w:r>
    </w:p>
    <w:p w14:paraId="607BC8B4" w14:textId="77777777" w:rsidR="008524CD" w:rsidRDefault="008524CD" w:rsidP="003A0949">
      <w:pPr>
        <w:widowControl w:val="0"/>
        <w:spacing w:after="120"/>
        <w:ind w:firstLine="720"/>
        <w:jc w:val="both"/>
      </w:pPr>
      <w:r>
        <w:t>1.3</w:t>
      </w:r>
      <w:r>
        <w:tab/>
      </w:r>
      <w:r w:rsidR="00793D63">
        <w:t xml:space="preserve">Contact Information.  </w:t>
      </w:r>
      <w:r>
        <w:t xml:space="preserve">The </w:t>
      </w:r>
      <w:r w:rsidR="009E036D">
        <w:t>Investor Government</w:t>
      </w:r>
      <w:r>
        <w:t xml:space="preserve"> </w:t>
      </w:r>
      <w:r w:rsidR="00315FF1">
        <w:t>shall</w:t>
      </w:r>
      <w:r>
        <w:t xml:space="preserve"> provide, on a form prescribed by PERA and available on its website, the names and signatures of persons authorized to initiate transactions to its account and a list of contacts to be notified when transactions occur in the account.  The </w:t>
      </w:r>
      <w:r w:rsidR="009E036D">
        <w:t>Investor Government</w:t>
      </w:r>
      <w:r>
        <w:t xml:space="preserve"> </w:t>
      </w:r>
      <w:r w:rsidR="00315FF1">
        <w:t>shall</w:t>
      </w:r>
      <w:r>
        <w:t xml:space="preserve"> provide an updated form to PERA as necessary to keep this information current.</w:t>
      </w:r>
    </w:p>
    <w:p w14:paraId="07CF984E" w14:textId="77777777" w:rsidR="00146533" w:rsidRPr="005B5F13" w:rsidRDefault="008524CD" w:rsidP="003A0949">
      <w:pPr>
        <w:widowControl w:val="0"/>
        <w:spacing w:after="120"/>
        <w:ind w:firstLine="720"/>
        <w:jc w:val="both"/>
      </w:pPr>
      <w:r>
        <w:t>1.4</w:t>
      </w:r>
      <w:r>
        <w:tab/>
      </w:r>
      <w:r w:rsidR="00793D63">
        <w:t xml:space="preserve">Effective Date.  This </w:t>
      </w:r>
      <w:r w:rsidR="009E036D">
        <w:t>Agreement</w:t>
      </w:r>
      <w:r w:rsidR="00793D63">
        <w:t xml:space="preserve"> is effective upon</w:t>
      </w:r>
      <w:r w:rsidRPr="008524CD">
        <w:t xml:space="preserve"> execution </w:t>
      </w:r>
      <w:r w:rsidR="00793D63">
        <w:t>by</w:t>
      </w:r>
      <w:r w:rsidRPr="008524CD">
        <w:t xml:space="preserve"> all signatories.</w:t>
      </w:r>
    </w:p>
    <w:p w14:paraId="4212A5ED" w14:textId="77777777" w:rsidR="008524CD" w:rsidRDefault="00457A4C" w:rsidP="003A0949">
      <w:pPr>
        <w:widowControl w:val="0"/>
        <w:spacing w:after="120"/>
        <w:ind w:firstLine="720"/>
        <w:jc w:val="both"/>
      </w:pPr>
      <w:r>
        <w:t>1.5</w:t>
      </w:r>
      <w:r w:rsidR="008524CD">
        <w:tab/>
      </w:r>
      <w:r w:rsidR="00793D63">
        <w:t xml:space="preserve">Expiration.  </w:t>
      </w:r>
      <w:r w:rsidR="008524CD" w:rsidRPr="008524CD">
        <w:t xml:space="preserve">This </w:t>
      </w:r>
      <w:r w:rsidR="009E036D">
        <w:t>Agreement</w:t>
      </w:r>
      <w:r w:rsidR="008524CD" w:rsidRPr="008524CD">
        <w:t xml:space="preserve"> </w:t>
      </w:r>
      <w:r w:rsidR="00315FF1">
        <w:t>shall</w:t>
      </w:r>
      <w:r w:rsidR="008524CD" w:rsidRPr="008524CD">
        <w:t xml:space="preserve"> remain in effect for as long as PERA serves as the account administrator.</w:t>
      </w:r>
      <w:r w:rsidR="008524CD">
        <w:t xml:space="preserve"> </w:t>
      </w:r>
    </w:p>
    <w:p w14:paraId="60745AC6" w14:textId="6650A1EF" w:rsidR="008524CD" w:rsidRPr="008524CD" w:rsidRDefault="00457A4C" w:rsidP="003A0949">
      <w:pPr>
        <w:widowControl w:val="0"/>
        <w:spacing w:after="120"/>
        <w:ind w:firstLine="720"/>
        <w:jc w:val="both"/>
      </w:pPr>
      <w:r>
        <w:lastRenderedPageBreak/>
        <w:t>1.6</w:t>
      </w:r>
      <w:r w:rsidR="008524CD">
        <w:tab/>
      </w:r>
      <w:r>
        <w:t xml:space="preserve">Termination.  </w:t>
      </w:r>
      <w:r w:rsidR="00793D63">
        <w:t>T</w:t>
      </w:r>
      <w:r w:rsidR="008524CD" w:rsidRPr="008524CD">
        <w:t xml:space="preserve">he </w:t>
      </w:r>
      <w:r w:rsidR="009E036D">
        <w:t>Investor Government</w:t>
      </w:r>
      <w:r w:rsidR="008524CD" w:rsidRPr="008524CD">
        <w:t xml:space="preserve"> may terminate its account in accordance with the terms of the statute.  If the </w:t>
      </w:r>
      <w:r w:rsidR="009E036D">
        <w:t>Investor Government</w:t>
      </w:r>
      <w:r w:rsidR="008524CD" w:rsidRPr="008524CD">
        <w:t xml:space="preserve"> terminates its account, this </w:t>
      </w:r>
      <w:r w:rsidR="009E036D">
        <w:t>Agreement</w:t>
      </w:r>
      <w:r w:rsidR="008524CD" w:rsidRPr="008524CD">
        <w:t xml:space="preserve"> is also terminated.</w:t>
      </w:r>
      <w:r w:rsidR="00793D63">
        <w:t xml:space="preserve">  </w:t>
      </w:r>
    </w:p>
    <w:p w14:paraId="6ACB4A6C" w14:textId="77777777" w:rsidR="00146533" w:rsidRPr="005B5F13" w:rsidRDefault="00146533" w:rsidP="003A0949">
      <w:pPr>
        <w:widowControl w:val="0"/>
        <w:spacing w:after="120"/>
        <w:jc w:val="both"/>
        <w:rPr>
          <w:b/>
          <w:u w:val="single"/>
        </w:rPr>
      </w:pPr>
      <w:r w:rsidRPr="005B5F13">
        <w:rPr>
          <w:b/>
        </w:rPr>
        <w:t>2</w:t>
      </w:r>
      <w:r w:rsidRPr="005B5F13">
        <w:t>.</w:t>
      </w:r>
      <w:r w:rsidRPr="005B5F13">
        <w:tab/>
      </w:r>
      <w:r w:rsidRPr="005B5F13">
        <w:rPr>
          <w:b/>
        </w:rPr>
        <w:t>Duties and Responsibilities of the Parties:</w:t>
      </w:r>
    </w:p>
    <w:p w14:paraId="13F3120A" w14:textId="77777777" w:rsidR="008524CD" w:rsidRPr="008524CD" w:rsidRDefault="00146533" w:rsidP="003A0949">
      <w:pPr>
        <w:widowControl w:val="0"/>
        <w:spacing w:after="120"/>
        <w:ind w:firstLine="720"/>
        <w:jc w:val="both"/>
      </w:pPr>
      <w:r w:rsidRPr="005B5F13">
        <w:t>2.1</w:t>
      </w:r>
      <w:r w:rsidRPr="005B5F13">
        <w:tab/>
      </w:r>
      <w:r w:rsidR="008524CD" w:rsidRPr="008524CD">
        <w:t xml:space="preserve">The </w:t>
      </w:r>
      <w:r w:rsidR="009E036D">
        <w:t>Investor Government</w:t>
      </w:r>
      <w:r w:rsidR="008524CD" w:rsidRPr="008524CD">
        <w:t xml:space="preserve"> may deposit money in the account, withdraw money from the account in a time and manner prescribed by PERA, or terminate the account, pursuant to the provisions of the statute and SBI</w:t>
      </w:r>
      <w:r w:rsidR="00513A48">
        <w:t xml:space="preserve"> policies and procedures</w:t>
      </w:r>
      <w:r w:rsidR="008524CD" w:rsidRPr="008524CD">
        <w:t>.</w:t>
      </w:r>
    </w:p>
    <w:p w14:paraId="6F07C666" w14:textId="77777777" w:rsidR="008524CD" w:rsidRPr="008524CD" w:rsidRDefault="008524CD" w:rsidP="003A0949">
      <w:pPr>
        <w:widowControl w:val="0"/>
        <w:spacing w:after="120"/>
        <w:ind w:firstLine="720"/>
        <w:jc w:val="both"/>
      </w:pPr>
      <w:r>
        <w:t>2.2</w:t>
      </w:r>
      <w:r>
        <w:tab/>
      </w:r>
      <w:r w:rsidRPr="008524CD">
        <w:t xml:space="preserve">The </w:t>
      </w:r>
      <w:r w:rsidR="009E036D">
        <w:t>Investor Government</w:t>
      </w:r>
      <w:r w:rsidRPr="008524CD">
        <w:t xml:space="preserve"> may provide investment direction to PERA, subject to SBI </w:t>
      </w:r>
      <w:r w:rsidR="00315FF1">
        <w:t>policies and procedures</w:t>
      </w:r>
      <w:r w:rsidRPr="008524CD">
        <w:t>.</w:t>
      </w:r>
    </w:p>
    <w:p w14:paraId="18531CCF" w14:textId="2FAE89D1" w:rsidR="008524CD" w:rsidRDefault="008524CD" w:rsidP="003A0949">
      <w:pPr>
        <w:widowControl w:val="0"/>
        <w:spacing w:after="120"/>
        <w:ind w:firstLine="720"/>
        <w:jc w:val="both"/>
      </w:pPr>
      <w:r>
        <w:t>2.3</w:t>
      </w:r>
      <w:r>
        <w:tab/>
      </w:r>
      <w:r w:rsidR="00315FF1" w:rsidRPr="00315FF1">
        <w:t xml:space="preserve">The </w:t>
      </w:r>
      <w:r w:rsidR="009E036D">
        <w:t>Investor Government</w:t>
      </w:r>
      <w:r w:rsidR="00315FF1" w:rsidRPr="00315FF1">
        <w:t xml:space="preserve"> understands that PERA and SBI shall have no obligation to monitor the </w:t>
      </w:r>
      <w:r w:rsidR="009E036D">
        <w:t>Investor Government</w:t>
      </w:r>
      <w:r w:rsidR="00315FF1" w:rsidRPr="00315FF1">
        <w:t xml:space="preserve">’s ongoing compliance with the statute. </w:t>
      </w:r>
      <w:r w:rsidR="00846594">
        <w:t xml:space="preserve"> </w:t>
      </w:r>
      <w:r w:rsidR="00315FF1" w:rsidRPr="00315FF1">
        <w:t xml:space="preserve">The </w:t>
      </w:r>
      <w:r w:rsidR="009E036D">
        <w:t>Investor Government</w:t>
      </w:r>
      <w:r w:rsidR="00315FF1" w:rsidRPr="00315FF1">
        <w:t xml:space="preserve"> further agrees that PERA and SBI may conclusively presume, without further inquiry, the </w:t>
      </w:r>
      <w:r w:rsidR="009E036D">
        <w:t>Investor Government</w:t>
      </w:r>
      <w:r w:rsidR="00315FF1" w:rsidRPr="00315FF1">
        <w:t>’s ongoing compliance with the terms of the statute without any liability on the part of PERA or the SBI, and that the</w:t>
      </w:r>
      <w:r w:rsidRPr="008524CD">
        <w:t xml:space="preserve"> </w:t>
      </w:r>
      <w:r w:rsidR="009E036D">
        <w:t>Investor Government</w:t>
      </w:r>
      <w:r w:rsidR="00315FF1">
        <w:t xml:space="preserve"> shall be</w:t>
      </w:r>
      <w:r w:rsidRPr="008524CD">
        <w:t xml:space="preserve"> solely responsible for ensuring that the type, source, amount, and purpose of funds invested comply with the statute and SBI </w:t>
      </w:r>
      <w:r w:rsidR="00315FF1">
        <w:t>policies and procedures</w:t>
      </w:r>
      <w:r w:rsidRPr="008524CD">
        <w:t xml:space="preserve">.  </w:t>
      </w:r>
    </w:p>
    <w:p w14:paraId="4784FE73" w14:textId="77777777" w:rsidR="008524CD" w:rsidRDefault="008524CD" w:rsidP="003A0949">
      <w:pPr>
        <w:widowControl w:val="0"/>
        <w:spacing w:after="120"/>
        <w:ind w:firstLine="720"/>
        <w:jc w:val="both"/>
      </w:pPr>
      <w:r>
        <w:t>2.4</w:t>
      </w:r>
      <w:r>
        <w:tab/>
      </w:r>
      <w:r w:rsidRPr="008524CD">
        <w:t xml:space="preserve">The </w:t>
      </w:r>
      <w:r w:rsidR="009E036D">
        <w:t>Investor Government</w:t>
      </w:r>
      <w:r w:rsidRPr="008524CD">
        <w:t xml:space="preserve"> is solely responsible for its failure to meet the requirements of the statute.  </w:t>
      </w:r>
    </w:p>
    <w:p w14:paraId="54226608" w14:textId="77777777" w:rsidR="008524CD" w:rsidRDefault="008524CD" w:rsidP="003A0949">
      <w:pPr>
        <w:widowControl w:val="0"/>
        <w:spacing w:after="120"/>
        <w:ind w:firstLine="720"/>
        <w:jc w:val="both"/>
      </w:pPr>
      <w:r>
        <w:t>2.5</w:t>
      </w:r>
      <w:r>
        <w:tab/>
      </w:r>
      <w:r w:rsidRPr="008524CD">
        <w:t xml:space="preserve">PERA </w:t>
      </w:r>
      <w:r w:rsidR="00315FF1">
        <w:t>shall</w:t>
      </w:r>
      <w:r w:rsidRPr="008524CD">
        <w:t xml:space="preserve"> act as the account administrator and </w:t>
      </w:r>
      <w:r w:rsidR="00315FF1">
        <w:t>shall</w:t>
      </w:r>
      <w:r w:rsidRPr="008524CD">
        <w:t xml:space="preserve"> administer the government’s long term equity investment account as a separate account in accordance with the terms of the statute.  </w:t>
      </w:r>
    </w:p>
    <w:p w14:paraId="46B11C18" w14:textId="77777777" w:rsidR="008524CD" w:rsidRPr="008524CD" w:rsidRDefault="008524CD" w:rsidP="003A0949">
      <w:pPr>
        <w:widowControl w:val="0"/>
        <w:spacing w:after="120"/>
        <w:ind w:firstLine="720"/>
        <w:jc w:val="both"/>
      </w:pPr>
      <w:r>
        <w:t>2.6</w:t>
      </w:r>
      <w:r>
        <w:tab/>
      </w:r>
      <w:r w:rsidR="00315FF1">
        <w:t xml:space="preserve">During the term of this </w:t>
      </w:r>
      <w:r w:rsidR="009E036D">
        <w:t>Agreement</w:t>
      </w:r>
      <w:r w:rsidR="00315FF1">
        <w:t xml:space="preserve">, </w:t>
      </w:r>
      <w:r w:rsidRPr="008524CD">
        <w:t>PERA</w:t>
      </w:r>
      <w:r w:rsidR="00315FF1">
        <w:t xml:space="preserve"> as account </w:t>
      </w:r>
      <w:r w:rsidR="002417AF">
        <w:t>administrator</w:t>
      </w:r>
      <w:r w:rsidR="00315FF1">
        <w:t xml:space="preserve"> and SBI in offering investment options,</w:t>
      </w:r>
      <w:r w:rsidRPr="008524CD">
        <w:t xml:space="preserve"> may rely on the representations by the </w:t>
      </w:r>
      <w:r w:rsidR="009E036D">
        <w:t>Investor Government</w:t>
      </w:r>
      <w:r w:rsidRPr="008524CD">
        <w:t xml:space="preserve"> </w:t>
      </w:r>
      <w:r w:rsidR="002417AF">
        <w:t>and have</w:t>
      </w:r>
      <w:r w:rsidRPr="008524CD">
        <w:t xml:space="preserve"> no duty to further verify qualifications, use, or intended use of the funds that are invested or withdrawn. </w:t>
      </w:r>
    </w:p>
    <w:p w14:paraId="138FA0BC" w14:textId="77777777" w:rsidR="008524CD" w:rsidRPr="008524CD" w:rsidRDefault="008524CD" w:rsidP="003A0949">
      <w:pPr>
        <w:widowControl w:val="0"/>
        <w:spacing w:after="120"/>
        <w:ind w:firstLine="720"/>
        <w:jc w:val="both"/>
      </w:pPr>
      <w:r>
        <w:t>2.7</w:t>
      </w:r>
      <w:r>
        <w:tab/>
      </w:r>
      <w:r w:rsidRPr="008524CD">
        <w:t xml:space="preserve">PERA </w:t>
      </w:r>
      <w:r w:rsidR="00315FF1">
        <w:t>shall</w:t>
      </w:r>
      <w:r w:rsidRPr="008524CD">
        <w:t xml:space="preserve"> certify all amounts in the accounts for which it is account administrator to the SBI pursuant to the terms of the statute subject to the </w:t>
      </w:r>
      <w:r w:rsidR="002417AF">
        <w:t xml:space="preserve">policies and procedures of </w:t>
      </w:r>
      <w:r w:rsidRPr="008524CD">
        <w:t>the SBI.</w:t>
      </w:r>
    </w:p>
    <w:p w14:paraId="081601E0" w14:textId="77777777" w:rsidR="008524CD" w:rsidRPr="008524CD" w:rsidRDefault="008524CD" w:rsidP="003A0949">
      <w:pPr>
        <w:widowControl w:val="0"/>
        <w:spacing w:after="120"/>
        <w:ind w:firstLine="720"/>
        <w:jc w:val="both"/>
      </w:pPr>
      <w:r>
        <w:t>2.8</w:t>
      </w:r>
      <w:r>
        <w:tab/>
      </w:r>
      <w:r w:rsidRPr="008524CD">
        <w:t xml:space="preserve">PERA </w:t>
      </w:r>
      <w:r w:rsidR="00315FF1">
        <w:t>shall</w:t>
      </w:r>
      <w:r w:rsidRPr="008524CD">
        <w:t xml:space="preserve"> provide instructions on its website on how to deposit assets to and withdraw assets from the investment account.</w:t>
      </w:r>
    </w:p>
    <w:p w14:paraId="4F529CFB" w14:textId="77777777" w:rsidR="008524CD" w:rsidRPr="008524CD" w:rsidRDefault="008524CD" w:rsidP="003A0949">
      <w:pPr>
        <w:widowControl w:val="0"/>
        <w:spacing w:after="120"/>
        <w:ind w:firstLine="720"/>
        <w:jc w:val="both"/>
      </w:pPr>
      <w:r>
        <w:t>2.9</w:t>
      </w:r>
      <w:r>
        <w:tab/>
      </w:r>
      <w:r w:rsidRPr="008524CD">
        <w:t xml:space="preserve">PERA </w:t>
      </w:r>
      <w:r w:rsidR="00315FF1">
        <w:t>shall</w:t>
      </w:r>
      <w:r w:rsidRPr="008524CD">
        <w:t xml:space="preserve"> keep a separate accounting of assets received, monthly investment returns, withdrawals, and investment fees and </w:t>
      </w:r>
      <w:r w:rsidR="00315FF1">
        <w:t>shall</w:t>
      </w:r>
      <w:r w:rsidRPr="008524CD">
        <w:t xml:space="preserve"> provide a report on the invested funds and on all investment fees or costs incurred by the account to the </w:t>
      </w:r>
      <w:r w:rsidR="009E036D">
        <w:t>Investor Government</w:t>
      </w:r>
      <w:r w:rsidRPr="008524CD">
        <w:t xml:space="preserve"> owning the account.</w:t>
      </w:r>
    </w:p>
    <w:p w14:paraId="2F5D2246" w14:textId="77777777" w:rsidR="00315FF1" w:rsidRDefault="00793D63" w:rsidP="003A0949">
      <w:pPr>
        <w:widowControl w:val="0"/>
        <w:spacing w:after="120"/>
        <w:jc w:val="both"/>
        <w:rPr>
          <w:rFonts w:eastAsia="Calibri"/>
          <w:b/>
        </w:rPr>
      </w:pPr>
      <w:r>
        <w:rPr>
          <w:b/>
        </w:rPr>
        <w:t>3.</w:t>
      </w:r>
      <w:r>
        <w:rPr>
          <w:b/>
        </w:rPr>
        <w:tab/>
      </w:r>
      <w:r w:rsidRPr="00793D63">
        <w:rPr>
          <w:rFonts w:eastAsia="Calibri"/>
          <w:b/>
        </w:rPr>
        <w:t>Investment</w:t>
      </w:r>
      <w:r w:rsidR="00315FF1">
        <w:rPr>
          <w:rFonts w:eastAsia="Calibri"/>
          <w:b/>
        </w:rPr>
        <w:t>s:</w:t>
      </w:r>
    </w:p>
    <w:p w14:paraId="22F8B026" w14:textId="77777777" w:rsidR="00793D63" w:rsidRPr="00793D63" w:rsidRDefault="00315FF1" w:rsidP="003A0949">
      <w:pPr>
        <w:widowControl w:val="0"/>
        <w:spacing w:after="120"/>
        <w:jc w:val="both"/>
        <w:rPr>
          <w:rFonts w:eastAsia="Calibri"/>
        </w:rPr>
      </w:pPr>
      <w:r>
        <w:rPr>
          <w:rFonts w:eastAsia="Calibri"/>
          <w:b/>
        </w:rPr>
        <w:tab/>
      </w:r>
      <w:r w:rsidRPr="00315FF1">
        <w:rPr>
          <w:rFonts w:eastAsia="Calibri"/>
        </w:rPr>
        <w:t>3.1</w:t>
      </w:r>
      <w:r w:rsidRPr="00315FF1">
        <w:rPr>
          <w:rFonts w:eastAsia="Calibri"/>
        </w:rPr>
        <w:tab/>
      </w:r>
      <w:r w:rsidR="00793D63" w:rsidRPr="00793D63">
        <w:rPr>
          <w:rFonts w:eastAsia="Calibri"/>
        </w:rPr>
        <w:t xml:space="preserve">The </w:t>
      </w:r>
      <w:r w:rsidR="009E036D">
        <w:rPr>
          <w:rFonts w:eastAsia="Calibri"/>
        </w:rPr>
        <w:t>Investor Government</w:t>
      </w:r>
      <w:r w:rsidR="00793D63" w:rsidRPr="00793D63">
        <w:rPr>
          <w:rFonts w:eastAsia="Calibri"/>
        </w:rPr>
        <w:t xml:space="preserve"> may invest only the amounts described in the sta</w:t>
      </w:r>
      <w:r w:rsidR="002417AF">
        <w:rPr>
          <w:rFonts w:eastAsia="Calibri"/>
        </w:rPr>
        <w:t xml:space="preserve">tute, subject to such terms and any </w:t>
      </w:r>
      <w:r w:rsidR="00793D63" w:rsidRPr="00793D63">
        <w:rPr>
          <w:rFonts w:eastAsia="Calibri"/>
        </w:rPr>
        <w:t xml:space="preserve">minimum amounts </w:t>
      </w:r>
      <w:r w:rsidR="002417AF">
        <w:rPr>
          <w:rFonts w:eastAsia="Calibri"/>
        </w:rPr>
        <w:t xml:space="preserve">that may be </w:t>
      </w:r>
      <w:r w:rsidR="00793D63" w:rsidRPr="00793D63">
        <w:rPr>
          <w:rFonts w:eastAsia="Calibri"/>
        </w:rPr>
        <w:t>adopted by the SBI.</w:t>
      </w:r>
    </w:p>
    <w:p w14:paraId="398A57AE" w14:textId="55E9ECB8" w:rsidR="00837BF1" w:rsidRDefault="00315FF1" w:rsidP="003A0949">
      <w:pPr>
        <w:widowControl w:val="0"/>
        <w:spacing w:after="120"/>
        <w:jc w:val="both"/>
      </w:pPr>
      <w:r>
        <w:tab/>
        <w:t>3.2</w:t>
      </w:r>
      <w:r>
        <w:tab/>
      </w:r>
      <w:r w:rsidRPr="00315FF1">
        <w:t xml:space="preserve">The </w:t>
      </w:r>
      <w:r w:rsidR="009E036D">
        <w:t>Investor Government</w:t>
      </w:r>
      <w:r w:rsidRPr="00315FF1">
        <w:t xml:space="preserve"> acknowledges that it has reviewed the SBI’s Non-Retirement City/County Prospectus, including all applicable fees and procedures. </w:t>
      </w:r>
      <w:r w:rsidR="00846594">
        <w:t xml:space="preserve"> </w:t>
      </w:r>
      <w:r w:rsidRPr="00315FF1">
        <w:t xml:space="preserve">The </w:t>
      </w:r>
      <w:r w:rsidR="009E036D">
        <w:t>Investor Government</w:t>
      </w:r>
      <w:r w:rsidRPr="00315FF1">
        <w:t xml:space="preserve"> agrees to comply with all applicable SBI policies and procedures, as amended from time to time.</w:t>
      </w:r>
    </w:p>
    <w:p w14:paraId="0B5278B1" w14:textId="77777777" w:rsidR="00793D63" w:rsidRDefault="00793D63" w:rsidP="003A0949">
      <w:pPr>
        <w:widowControl w:val="0"/>
        <w:spacing w:after="120"/>
        <w:jc w:val="both"/>
        <w:rPr>
          <w:rFonts w:eastAsia="Calibri"/>
          <w:b/>
        </w:rPr>
      </w:pPr>
      <w:r>
        <w:rPr>
          <w:b/>
        </w:rPr>
        <w:lastRenderedPageBreak/>
        <w:t>4.</w:t>
      </w:r>
      <w:r>
        <w:rPr>
          <w:b/>
        </w:rPr>
        <w:tab/>
      </w:r>
      <w:r w:rsidRPr="00793D63">
        <w:rPr>
          <w:rFonts w:eastAsia="Calibri"/>
          <w:b/>
        </w:rPr>
        <w:t xml:space="preserve">Account Maintenance: </w:t>
      </w:r>
    </w:p>
    <w:p w14:paraId="75ECE6E7" w14:textId="77777777" w:rsidR="00793D63" w:rsidRDefault="00793D63" w:rsidP="003A0949">
      <w:pPr>
        <w:widowControl w:val="0"/>
        <w:spacing w:after="120"/>
        <w:ind w:firstLine="720"/>
        <w:jc w:val="both"/>
        <w:rPr>
          <w:rFonts w:eastAsia="Calibri"/>
        </w:rPr>
      </w:pPr>
      <w:r>
        <w:rPr>
          <w:rFonts w:eastAsia="Calibri"/>
        </w:rPr>
        <w:t>4.1</w:t>
      </w:r>
      <w:r>
        <w:rPr>
          <w:rFonts w:eastAsia="Calibri"/>
        </w:rPr>
        <w:tab/>
      </w:r>
      <w:r w:rsidRPr="00793D63">
        <w:rPr>
          <w:rFonts w:eastAsia="Calibri"/>
        </w:rPr>
        <w:t xml:space="preserve">PERA may charge the </w:t>
      </w:r>
      <w:r w:rsidR="009E036D">
        <w:rPr>
          <w:rFonts w:eastAsia="Calibri"/>
        </w:rPr>
        <w:t>Investor Government</w:t>
      </w:r>
      <w:r w:rsidRPr="00793D63">
        <w:rPr>
          <w:rFonts w:eastAsia="Calibri"/>
        </w:rPr>
        <w:t xml:space="preserve"> fees for reasonable administrative costs.  PERA </w:t>
      </w:r>
      <w:r w:rsidR="00315FF1">
        <w:rPr>
          <w:rFonts w:eastAsia="Calibri"/>
        </w:rPr>
        <w:t>shall</w:t>
      </w:r>
      <w:r w:rsidRPr="00793D63">
        <w:rPr>
          <w:rFonts w:eastAsia="Calibri"/>
        </w:rPr>
        <w:t xml:space="preserve"> provide a schedule of fees on its website.  </w:t>
      </w:r>
    </w:p>
    <w:p w14:paraId="1C632C7F" w14:textId="77777777" w:rsidR="00793D63" w:rsidRPr="00793D63" w:rsidRDefault="00793D63" w:rsidP="003A0949">
      <w:pPr>
        <w:widowControl w:val="0"/>
        <w:spacing w:after="120"/>
        <w:ind w:firstLine="720"/>
        <w:jc w:val="both"/>
        <w:rPr>
          <w:rFonts w:eastAsia="Calibri"/>
        </w:rPr>
      </w:pPr>
      <w:r>
        <w:rPr>
          <w:rFonts w:eastAsia="Calibri"/>
        </w:rPr>
        <w:t>4.2</w:t>
      </w:r>
      <w:r>
        <w:rPr>
          <w:rFonts w:eastAsia="Calibri"/>
        </w:rPr>
        <w:tab/>
      </w:r>
      <w:r w:rsidRPr="00793D63">
        <w:rPr>
          <w:rFonts w:eastAsia="Calibri"/>
        </w:rPr>
        <w:t>The amount of any fee charged by PERA is annually appropriated to PERA from the account.</w:t>
      </w:r>
    </w:p>
    <w:p w14:paraId="23AED24A" w14:textId="374B247B" w:rsidR="00793D63" w:rsidRDefault="00793D63" w:rsidP="003A0949">
      <w:pPr>
        <w:widowControl w:val="0"/>
        <w:spacing w:after="120"/>
        <w:ind w:firstLine="720"/>
        <w:jc w:val="both"/>
        <w:rPr>
          <w:rFonts w:eastAsia="Calibri"/>
        </w:rPr>
      </w:pPr>
      <w:r>
        <w:rPr>
          <w:rFonts w:eastAsia="Calibri"/>
        </w:rPr>
        <w:t>4.3</w:t>
      </w:r>
      <w:r>
        <w:rPr>
          <w:rFonts w:eastAsia="Calibri"/>
        </w:rPr>
        <w:tab/>
      </w:r>
      <w:r w:rsidRPr="00793D63">
        <w:rPr>
          <w:rFonts w:eastAsia="Calibri"/>
        </w:rPr>
        <w:t xml:space="preserve">PERA may amend the fees at any time by posting the changes to </w:t>
      </w:r>
      <w:r w:rsidR="00846594">
        <w:rPr>
          <w:rFonts w:eastAsia="Calibri"/>
        </w:rPr>
        <w:t>its</w:t>
      </w:r>
      <w:r w:rsidRPr="00793D63">
        <w:rPr>
          <w:rFonts w:eastAsia="Calibri"/>
        </w:rPr>
        <w:t xml:space="preserve"> website. PERA may establish other reasonable terms and conditions for the creation and maintenance of long-term equity investment accounts which </w:t>
      </w:r>
      <w:r w:rsidR="00315FF1">
        <w:rPr>
          <w:rFonts w:eastAsia="Calibri"/>
        </w:rPr>
        <w:t>shall</w:t>
      </w:r>
      <w:r w:rsidRPr="00793D63">
        <w:rPr>
          <w:rFonts w:eastAsia="Calibri"/>
        </w:rPr>
        <w:t xml:space="preserve"> be effective upon posting on </w:t>
      </w:r>
      <w:r>
        <w:rPr>
          <w:rFonts w:eastAsia="Calibri"/>
        </w:rPr>
        <w:t>PERA’s</w:t>
      </w:r>
      <w:r w:rsidRPr="00793D63">
        <w:rPr>
          <w:rFonts w:eastAsia="Calibri"/>
        </w:rPr>
        <w:t xml:space="preserve"> website.</w:t>
      </w:r>
    </w:p>
    <w:p w14:paraId="04C625AC" w14:textId="3E613E97" w:rsidR="002417AF" w:rsidRPr="00793D63" w:rsidRDefault="002417AF" w:rsidP="003A0949">
      <w:pPr>
        <w:widowControl w:val="0"/>
        <w:spacing w:after="120"/>
        <w:ind w:firstLine="720"/>
        <w:jc w:val="both"/>
        <w:rPr>
          <w:rFonts w:eastAsia="Calibri"/>
        </w:rPr>
      </w:pPr>
      <w:r>
        <w:rPr>
          <w:rFonts w:eastAsia="Calibri"/>
        </w:rPr>
        <w:t>4.4</w:t>
      </w:r>
      <w:r>
        <w:rPr>
          <w:rFonts w:eastAsia="Calibri"/>
        </w:rPr>
        <w:tab/>
      </w:r>
      <w:r w:rsidRPr="002417AF">
        <w:rPr>
          <w:rFonts w:eastAsia="Calibri"/>
        </w:rPr>
        <w:t>All fees related to investments options offered by the SBI, including asset management and administrative fees</w:t>
      </w:r>
      <w:r w:rsidR="00652190">
        <w:rPr>
          <w:rFonts w:eastAsia="Calibri"/>
        </w:rPr>
        <w:t>,</w:t>
      </w:r>
      <w:r w:rsidRPr="002417AF">
        <w:rPr>
          <w:rFonts w:eastAsia="Calibri"/>
        </w:rPr>
        <w:t xml:space="preserve"> are contained in the SBI’s Non-Retirement City/County Prospectus and may be amended from time to time.</w:t>
      </w:r>
    </w:p>
    <w:p w14:paraId="409FE138" w14:textId="77777777" w:rsidR="00837BF1" w:rsidRPr="005B5F13" w:rsidRDefault="00793D63" w:rsidP="003A0949">
      <w:pPr>
        <w:widowControl w:val="0"/>
        <w:spacing w:after="120"/>
        <w:ind w:left="720" w:hanging="720"/>
        <w:jc w:val="both"/>
      </w:pPr>
      <w:r>
        <w:rPr>
          <w:b/>
        </w:rPr>
        <w:t>5.</w:t>
      </w:r>
      <w:r>
        <w:rPr>
          <w:b/>
        </w:rPr>
        <w:tab/>
      </w:r>
      <w:r w:rsidR="00837BF1" w:rsidRPr="005B5F13">
        <w:rPr>
          <w:b/>
        </w:rPr>
        <w:t>Amendments</w:t>
      </w:r>
      <w:r w:rsidR="002E1405">
        <w:rPr>
          <w:b/>
        </w:rPr>
        <w:t>:</w:t>
      </w:r>
    </w:p>
    <w:p w14:paraId="509001DA" w14:textId="77777777" w:rsidR="00F7587C" w:rsidRDefault="00315FF1" w:rsidP="003A0949">
      <w:pPr>
        <w:widowControl w:val="0"/>
        <w:spacing w:after="120"/>
        <w:ind w:firstLine="720"/>
        <w:jc w:val="both"/>
        <w:rPr>
          <w:rFonts w:eastAsia="Calibri"/>
        </w:rPr>
      </w:pPr>
      <w:r>
        <w:rPr>
          <w:rFonts w:eastAsia="Calibri"/>
        </w:rPr>
        <w:t>5.1</w:t>
      </w:r>
      <w:r>
        <w:rPr>
          <w:rFonts w:eastAsia="Calibri"/>
        </w:rPr>
        <w:tab/>
      </w:r>
      <w:r w:rsidR="00793D63" w:rsidRPr="00793D63">
        <w:rPr>
          <w:rFonts w:eastAsia="Calibri"/>
        </w:rPr>
        <w:t xml:space="preserve">Any amendment to the terms of this </w:t>
      </w:r>
      <w:r w:rsidR="009E036D">
        <w:rPr>
          <w:rFonts w:eastAsia="Calibri"/>
        </w:rPr>
        <w:t>Agreement</w:t>
      </w:r>
      <w:r w:rsidR="00793D63" w:rsidRPr="00793D63">
        <w:rPr>
          <w:rFonts w:eastAsia="Calibri"/>
        </w:rPr>
        <w:t xml:space="preserve"> between PERA and </w:t>
      </w:r>
      <w:r w:rsidR="00793D63">
        <w:rPr>
          <w:rFonts w:eastAsia="Calibri"/>
        </w:rPr>
        <w:t xml:space="preserve">the </w:t>
      </w:r>
      <w:r w:rsidR="009E036D">
        <w:rPr>
          <w:rFonts w:eastAsia="Calibri"/>
        </w:rPr>
        <w:t>Investor Government</w:t>
      </w:r>
      <w:r w:rsidR="00793D63" w:rsidRPr="00793D63">
        <w:rPr>
          <w:rFonts w:eastAsia="Calibri"/>
          <w:b/>
        </w:rPr>
        <w:t xml:space="preserve"> </w:t>
      </w:r>
      <w:r w:rsidR="00793D63" w:rsidRPr="00793D63">
        <w:rPr>
          <w:rFonts w:eastAsia="Calibri"/>
        </w:rPr>
        <w:t xml:space="preserve">must be in writing and </w:t>
      </w:r>
      <w:r>
        <w:rPr>
          <w:rFonts w:eastAsia="Calibri"/>
        </w:rPr>
        <w:t>shall</w:t>
      </w:r>
      <w:r w:rsidR="00793D63" w:rsidRPr="00793D63">
        <w:rPr>
          <w:rFonts w:eastAsia="Calibri"/>
        </w:rPr>
        <w:t xml:space="preserve"> not be effective until executed </w:t>
      </w:r>
      <w:r w:rsidR="00793D63">
        <w:rPr>
          <w:rFonts w:eastAsia="Calibri"/>
        </w:rPr>
        <w:t xml:space="preserve">by the signatories to this </w:t>
      </w:r>
      <w:r w:rsidR="009E036D">
        <w:rPr>
          <w:rFonts w:eastAsia="Calibri"/>
        </w:rPr>
        <w:t>Agreement</w:t>
      </w:r>
      <w:r w:rsidR="00793D63">
        <w:rPr>
          <w:rFonts w:eastAsia="Calibri"/>
        </w:rPr>
        <w:t xml:space="preserve"> or </w:t>
      </w:r>
      <w:r w:rsidR="00793D63" w:rsidRPr="00793D63">
        <w:rPr>
          <w:rFonts w:eastAsia="Calibri"/>
        </w:rPr>
        <w:t>their successors in office.</w:t>
      </w:r>
      <w:r w:rsidR="002E1405">
        <w:rPr>
          <w:rFonts w:eastAsia="Calibri"/>
        </w:rPr>
        <w:t xml:space="preserve">  </w:t>
      </w:r>
    </w:p>
    <w:p w14:paraId="3FA3E03D" w14:textId="77777777" w:rsidR="00315FF1" w:rsidRPr="009E036D" w:rsidRDefault="00315FF1" w:rsidP="003A0949">
      <w:pPr>
        <w:widowControl w:val="0"/>
        <w:spacing w:after="120"/>
        <w:ind w:firstLine="720"/>
        <w:jc w:val="both"/>
        <w:rPr>
          <w:rFonts w:eastAsia="Calibri"/>
          <w:b/>
        </w:rPr>
      </w:pPr>
      <w:r>
        <w:rPr>
          <w:rFonts w:eastAsia="Calibri"/>
        </w:rPr>
        <w:t>5.2</w:t>
      </w:r>
      <w:r>
        <w:rPr>
          <w:rFonts w:eastAsia="Calibri"/>
        </w:rPr>
        <w:tab/>
      </w:r>
      <w:r w:rsidRPr="00315FF1">
        <w:rPr>
          <w:rFonts w:eastAsia="Calibri"/>
        </w:rPr>
        <w:t xml:space="preserve">If legislation is enacted that alters the relationship or duties in this </w:t>
      </w:r>
      <w:r w:rsidR="009E036D">
        <w:rPr>
          <w:rFonts w:eastAsia="Calibri"/>
        </w:rPr>
        <w:t>Agreement</w:t>
      </w:r>
      <w:r w:rsidRPr="00315FF1">
        <w:rPr>
          <w:rFonts w:eastAsia="Calibri"/>
        </w:rPr>
        <w:t xml:space="preserve">, </w:t>
      </w:r>
      <w:r>
        <w:rPr>
          <w:rFonts w:eastAsia="Calibri"/>
        </w:rPr>
        <w:t xml:space="preserve">PERA may amend or terminate this </w:t>
      </w:r>
      <w:r w:rsidR="009E036D">
        <w:rPr>
          <w:rFonts w:eastAsia="Calibri"/>
        </w:rPr>
        <w:t>Agreement</w:t>
      </w:r>
      <w:r>
        <w:rPr>
          <w:rFonts w:eastAsia="Calibri"/>
        </w:rPr>
        <w:t xml:space="preserve"> as it deems appropriate to effectuate the statutory </w:t>
      </w:r>
      <w:r w:rsidRPr="009E036D">
        <w:rPr>
          <w:rFonts w:eastAsia="Calibri"/>
        </w:rPr>
        <w:t>change.</w:t>
      </w:r>
    </w:p>
    <w:p w14:paraId="0CDE480C" w14:textId="77777777" w:rsidR="002E1405" w:rsidRDefault="009E036D" w:rsidP="009E036D">
      <w:pPr>
        <w:spacing w:after="160" w:line="259" w:lineRule="auto"/>
        <w:jc w:val="both"/>
      </w:pPr>
      <w:r w:rsidRPr="009E036D">
        <w:rPr>
          <w:b/>
        </w:rPr>
        <w:t>6.</w:t>
      </w:r>
      <w:r w:rsidRPr="009E036D">
        <w:rPr>
          <w:b/>
        </w:rPr>
        <w:tab/>
      </w:r>
      <w:r w:rsidR="003A0949" w:rsidRPr="009E036D">
        <w:rPr>
          <w:b/>
        </w:rPr>
        <w:t>Representation on Authority of Parties/Signatories</w:t>
      </w:r>
      <w:r>
        <w:rPr>
          <w:b/>
        </w:rPr>
        <w:t>:</w:t>
      </w:r>
      <w:r w:rsidR="003A0949" w:rsidRPr="003A0949">
        <w:t xml:space="preserve"> Each person signing this </w:t>
      </w:r>
      <w:r>
        <w:t>Agreement</w:t>
      </w:r>
      <w:r w:rsidR="003A0949" w:rsidRPr="003A0949">
        <w:t xml:space="preserve"> represents and warrants that he or she is duly authorized and has legal capacity to execute this </w:t>
      </w:r>
      <w:r>
        <w:t>Agreement</w:t>
      </w:r>
      <w:r w:rsidR="003A0949" w:rsidRPr="003A0949">
        <w:t xml:space="preserve">. </w:t>
      </w:r>
      <w:r>
        <w:t xml:space="preserve"> </w:t>
      </w:r>
    </w:p>
    <w:p w14:paraId="467EBD90" w14:textId="77777777" w:rsidR="009E036D" w:rsidRPr="009E036D" w:rsidRDefault="009E036D" w:rsidP="009E036D">
      <w:pPr>
        <w:spacing w:after="160" w:line="259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E1405" w:rsidRPr="00B24325" w14:paraId="70F1F444" w14:textId="77777777" w:rsidTr="00BE1E6F">
        <w:tc>
          <w:tcPr>
            <w:tcW w:w="4788" w:type="dxa"/>
            <w:shd w:val="clear" w:color="auto" w:fill="auto"/>
          </w:tcPr>
          <w:p w14:paraId="073B28EA" w14:textId="3AE296D2" w:rsidR="00793D63" w:rsidRPr="00BE1E6F" w:rsidRDefault="00A44DF8" w:rsidP="0029010E">
            <w:pPr>
              <w:rPr>
                <w:rFonts w:eastAsia="Calibri"/>
                <w:b/>
              </w:rPr>
            </w:pPr>
            <w:r w:rsidRPr="00BE1E6F">
              <w:rPr>
                <w:rFonts w:eastAsia="Calibri"/>
                <w:b/>
              </w:rPr>
              <w:t xml:space="preserve">[NAME OF </w:t>
            </w:r>
            <w:r w:rsidR="00652190">
              <w:rPr>
                <w:rFonts w:eastAsia="Calibri"/>
                <w:b/>
              </w:rPr>
              <w:t>INVESTOR GOVERNMENT</w:t>
            </w:r>
            <w:r w:rsidRPr="00BE1E6F">
              <w:rPr>
                <w:rFonts w:eastAsia="Calibri"/>
                <w:b/>
              </w:rPr>
              <w:t>]</w:t>
            </w:r>
          </w:p>
          <w:p w14:paraId="039D4632" w14:textId="4B1C8566" w:rsidR="00793D63" w:rsidRPr="00BE1E6F" w:rsidRDefault="003A0949" w:rsidP="002901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The signatory below certifies the authority to sign this </w:t>
            </w:r>
            <w:r w:rsidR="009E036D">
              <w:rPr>
                <w:rFonts w:eastAsia="Calibri"/>
              </w:rPr>
              <w:t>Agreement</w:t>
            </w:r>
            <w:r>
              <w:rPr>
                <w:rFonts w:eastAsia="Calibri"/>
              </w:rPr>
              <w:t xml:space="preserve"> </w:t>
            </w:r>
            <w:r w:rsidR="00652190">
              <w:rPr>
                <w:rFonts w:eastAsia="Calibri"/>
              </w:rPr>
              <w:t>on behalf of the Investor Government:</w:t>
            </w:r>
            <w:r>
              <w:rPr>
                <w:rFonts w:eastAsia="Calibri"/>
              </w:rPr>
              <w:t xml:space="preserve"> </w:t>
            </w:r>
          </w:p>
          <w:p w14:paraId="439A8D95" w14:textId="77777777" w:rsidR="00793D63" w:rsidRPr="00BE1E6F" w:rsidRDefault="00793D63" w:rsidP="0029010E">
            <w:pPr>
              <w:rPr>
                <w:rFonts w:eastAsia="Calibri"/>
              </w:rPr>
            </w:pPr>
          </w:p>
          <w:p w14:paraId="1B36676C" w14:textId="77777777" w:rsidR="00793D63" w:rsidRPr="00BE1E6F" w:rsidRDefault="00793D63" w:rsidP="0029010E">
            <w:pPr>
              <w:rPr>
                <w:rFonts w:eastAsia="Calibri"/>
              </w:rPr>
            </w:pPr>
            <w:r w:rsidRPr="00BE1E6F">
              <w:rPr>
                <w:rFonts w:eastAsia="Calibri"/>
              </w:rPr>
              <w:t>By: __________________________________</w:t>
            </w:r>
          </w:p>
          <w:p w14:paraId="112A48FE" w14:textId="77777777" w:rsidR="00793D63" w:rsidRPr="00BE1E6F" w:rsidRDefault="00793D63" w:rsidP="00AC1A19">
            <w:pPr>
              <w:ind w:firstLine="450"/>
              <w:rPr>
                <w:rFonts w:eastAsia="Calibri"/>
              </w:rPr>
            </w:pPr>
            <w:r w:rsidRPr="00BE1E6F">
              <w:rPr>
                <w:rFonts w:eastAsia="Calibri"/>
              </w:rPr>
              <w:t>(printed name)</w:t>
            </w:r>
          </w:p>
          <w:p w14:paraId="1E3EF8F0" w14:textId="77777777" w:rsidR="00793D63" w:rsidRPr="00BE1E6F" w:rsidRDefault="00793D63" w:rsidP="0029010E">
            <w:pPr>
              <w:rPr>
                <w:rFonts w:eastAsia="Calibri"/>
              </w:rPr>
            </w:pPr>
          </w:p>
          <w:p w14:paraId="70E0DFA8" w14:textId="77777777" w:rsidR="003A0949" w:rsidRDefault="003A0949" w:rsidP="0029010E">
            <w:pPr>
              <w:rPr>
                <w:rFonts w:eastAsia="Calibri"/>
              </w:rPr>
            </w:pPr>
            <w:r w:rsidRPr="003A0949">
              <w:rPr>
                <w:rFonts w:eastAsia="Calibri"/>
              </w:rPr>
              <w:t>Title: _________________________________</w:t>
            </w:r>
          </w:p>
          <w:p w14:paraId="7DF13361" w14:textId="77777777" w:rsidR="003A0949" w:rsidRDefault="003A0949" w:rsidP="0029010E">
            <w:pPr>
              <w:rPr>
                <w:rFonts w:eastAsia="Calibri"/>
              </w:rPr>
            </w:pPr>
          </w:p>
          <w:p w14:paraId="294CFA1D" w14:textId="77777777" w:rsidR="00793D63" w:rsidRPr="00BE1E6F" w:rsidRDefault="00793D63" w:rsidP="0029010E">
            <w:pPr>
              <w:rPr>
                <w:rFonts w:eastAsia="Calibri"/>
              </w:rPr>
            </w:pPr>
            <w:r w:rsidRPr="00BE1E6F">
              <w:rPr>
                <w:rFonts w:eastAsia="Calibri"/>
              </w:rPr>
              <w:t>Signature: _____________________________</w:t>
            </w:r>
          </w:p>
          <w:p w14:paraId="0923F757" w14:textId="77777777" w:rsidR="00793D63" w:rsidRPr="00BE1E6F" w:rsidRDefault="00793D63" w:rsidP="0029010E">
            <w:pPr>
              <w:rPr>
                <w:rFonts w:eastAsia="Calibri"/>
              </w:rPr>
            </w:pPr>
          </w:p>
          <w:p w14:paraId="43D47F0D" w14:textId="77777777" w:rsidR="00793D63" w:rsidRPr="00BE1E6F" w:rsidRDefault="00793D63" w:rsidP="0029010E">
            <w:pPr>
              <w:rPr>
                <w:rFonts w:eastAsia="Calibri"/>
              </w:rPr>
            </w:pPr>
            <w:r w:rsidRPr="00BE1E6F">
              <w:rPr>
                <w:rFonts w:eastAsia="Calibri"/>
              </w:rPr>
              <w:t>Date: _________________________________</w:t>
            </w:r>
          </w:p>
        </w:tc>
        <w:tc>
          <w:tcPr>
            <w:tcW w:w="4788" w:type="dxa"/>
            <w:shd w:val="clear" w:color="auto" w:fill="auto"/>
          </w:tcPr>
          <w:p w14:paraId="4A1AE346" w14:textId="77777777" w:rsidR="00793D63" w:rsidRPr="00BE1E6F" w:rsidRDefault="00A44DF8" w:rsidP="0029010E">
            <w:pPr>
              <w:rPr>
                <w:rFonts w:eastAsia="Calibri"/>
              </w:rPr>
            </w:pPr>
            <w:r w:rsidRPr="00BE1E6F">
              <w:rPr>
                <w:rFonts w:eastAsia="Calibri"/>
                <w:b/>
              </w:rPr>
              <w:t>PUBLIC EMPLOYEES RETIREMENT ASSOCIATION</w:t>
            </w:r>
            <w:r>
              <w:rPr>
                <w:rFonts w:eastAsia="Calibri"/>
                <w:b/>
              </w:rPr>
              <w:t xml:space="preserve"> </w:t>
            </w:r>
            <w:r w:rsidRPr="00BE1E6F">
              <w:rPr>
                <w:rFonts w:eastAsia="Calibri"/>
                <w:b/>
              </w:rPr>
              <w:t>OF M</w:t>
            </w:r>
            <w:r>
              <w:rPr>
                <w:rFonts w:eastAsia="Calibri"/>
                <w:b/>
              </w:rPr>
              <w:t>N</w:t>
            </w:r>
          </w:p>
          <w:p w14:paraId="048DCE33" w14:textId="77777777" w:rsidR="00793D63" w:rsidRPr="00BE1E6F" w:rsidRDefault="00793D63" w:rsidP="0029010E">
            <w:pPr>
              <w:rPr>
                <w:rFonts w:eastAsia="Calibri"/>
              </w:rPr>
            </w:pPr>
          </w:p>
          <w:p w14:paraId="33AB0EDB" w14:textId="77777777" w:rsidR="00652190" w:rsidRDefault="00652190" w:rsidP="0029010E">
            <w:pPr>
              <w:rPr>
                <w:rFonts w:eastAsia="Calibri"/>
              </w:rPr>
            </w:pPr>
          </w:p>
          <w:p w14:paraId="21C0D47A" w14:textId="77777777" w:rsidR="00652190" w:rsidRDefault="00652190" w:rsidP="0029010E">
            <w:pPr>
              <w:rPr>
                <w:rFonts w:eastAsia="Calibri"/>
              </w:rPr>
            </w:pPr>
          </w:p>
          <w:p w14:paraId="4F2C1EDE" w14:textId="77777777" w:rsidR="00793D63" w:rsidRPr="00BE1E6F" w:rsidRDefault="00793D63" w:rsidP="0029010E">
            <w:pPr>
              <w:rPr>
                <w:rFonts w:eastAsia="Calibri"/>
              </w:rPr>
            </w:pPr>
            <w:r w:rsidRPr="00BE1E6F">
              <w:rPr>
                <w:rFonts w:eastAsia="Calibri"/>
              </w:rPr>
              <w:t>By: __________________________________</w:t>
            </w:r>
          </w:p>
          <w:p w14:paraId="6AA90828" w14:textId="77777777" w:rsidR="00793D63" w:rsidRPr="00BE1E6F" w:rsidRDefault="003A0949" w:rsidP="00AC1A19">
            <w:pPr>
              <w:ind w:firstLine="432"/>
              <w:rPr>
                <w:rFonts w:eastAsia="Calibri"/>
              </w:rPr>
            </w:pPr>
            <w:r>
              <w:rPr>
                <w:rFonts w:eastAsia="Calibri"/>
              </w:rPr>
              <w:t>(printed name</w:t>
            </w:r>
            <w:r w:rsidR="00793D63" w:rsidRPr="00BE1E6F">
              <w:rPr>
                <w:rFonts w:eastAsia="Calibri"/>
              </w:rPr>
              <w:t>)</w:t>
            </w:r>
          </w:p>
          <w:p w14:paraId="71AADABE" w14:textId="77777777" w:rsidR="00793D63" w:rsidRDefault="00793D63" w:rsidP="0029010E">
            <w:pPr>
              <w:rPr>
                <w:rFonts w:eastAsia="Calibri"/>
              </w:rPr>
            </w:pPr>
          </w:p>
          <w:p w14:paraId="4296A0A9" w14:textId="77777777" w:rsidR="003A0949" w:rsidRDefault="003A0949" w:rsidP="0029010E">
            <w:pPr>
              <w:rPr>
                <w:rFonts w:eastAsia="Calibri"/>
              </w:rPr>
            </w:pPr>
            <w:r>
              <w:rPr>
                <w:rFonts w:eastAsia="Calibri"/>
              </w:rPr>
              <w:t>Title: _________________________________</w:t>
            </w:r>
          </w:p>
          <w:p w14:paraId="279E5421" w14:textId="77777777" w:rsidR="003A0949" w:rsidRPr="00BE1E6F" w:rsidRDefault="003A0949" w:rsidP="0029010E">
            <w:pPr>
              <w:rPr>
                <w:rFonts w:eastAsia="Calibri"/>
              </w:rPr>
            </w:pPr>
          </w:p>
          <w:p w14:paraId="000E3C93" w14:textId="77777777" w:rsidR="00793D63" w:rsidRPr="00BE1E6F" w:rsidRDefault="00793D63" w:rsidP="0029010E">
            <w:pPr>
              <w:rPr>
                <w:rFonts w:eastAsia="Calibri"/>
              </w:rPr>
            </w:pPr>
            <w:r w:rsidRPr="00BE1E6F">
              <w:rPr>
                <w:rFonts w:eastAsia="Calibri"/>
              </w:rPr>
              <w:t>Signature: _____________________________</w:t>
            </w:r>
          </w:p>
          <w:p w14:paraId="3D368AED" w14:textId="77777777" w:rsidR="00793D63" w:rsidRPr="00BE1E6F" w:rsidRDefault="00793D63" w:rsidP="0029010E">
            <w:pPr>
              <w:rPr>
                <w:rFonts w:eastAsia="Calibri"/>
              </w:rPr>
            </w:pPr>
          </w:p>
          <w:p w14:paraId="707C706D" w14:textId="77777777" w:rsidR="00793D63" w:rsidRPr="00BE1E6F" w:rsidRDefault="00793D63" w:rsidP="0029010E">
            <w:pPr>
              <w:rPr>
                <w:rFonts w:eastAsia="Calibri"/>
              </w:rPr>
            </w:pPr>
            <w:r w:rsidRPr="00BE1E6F">
              <w:rPr>
                <w:rFonts w:eastAsia="Calibri"/>
              </w:rPr>
              <w:t>Date: _________________________________</w:t>
            </w:r>
          </w:p>
        </w:tc>
      </w:tr>
      <w:tr w:rsidR="002E1405" w:rsidRPr="00B24325" w14:paraId="6DEE7AEA" w14:textId="77777777" w:rsidTr="00BE1E6F">
        <w:tc>
          <w:tcPr>
            <w:tcW w:w="4788" w:type="dxa"/>
            <w:shd w:val="clear" w:color="auto" w:fill="auto"/>
          </w:tcPr>
          <w:p w14:paraId="0D34B97C" w14:textId="77777777" w:rsidR="00793D63" w:rsidRPr="00BE1E6F" w:rsidRDefault="00793D63" w:rsidP="0029010E">
            <w:pPr>
              <w:rPr>
                <w:rFonts w:eastAsia="Calibri"/>
              </w:rPr>
            </w:pPr>
          </w:p>
        </w:tc>
        <w:tc>
          <w:tcPr>
            <w:tcW w:w="4788" w:type="dxa"/>
            <w:shd w:val="clear" w:color="auto" w:fill="auto"/>
          </w:tcPr>
          <w:p w14:paraId="3ABC895D" w14:textId="77777777" w:rsidR="00793D63" w:rsidRPr="00BE1E6F" w:rsidRDefault="00793D63" w:rsidP="0029010E">
            <w:pPr>
              <w:rPr>
                <w:rFonts w:eastAsia="Calibri"/>
                <w:b/>
              </w:rPr>
            </w:pPr>
          </w:p>
        </w:tc>
      </w:tr>
    </w:tbl>
    <w:p w14:paraId="70EE63CF" w14:textId="77777777" w:rsidR="00B5418E" w:rsidRDefault="00B5418E" w:rsidP="0075542D"/>
    <w:p w14:paraId="0477DF55" w14:textId="77777777" w:rsidR="00793D63" w:rsidRDefault="00793D63" w:rsidP="0075542D"/>
    <w:p w14:paraId="05BF7F59" w14:textId="77777777" w:rsidR="00793D63" w:rsidRPr="005B5F13" w:rsidRDefault="00793D63" w:rsidP="0075542D">
      <w:r>
        <w:t xml:space="preserve">[Add additional signatures for the </w:t>
      </w:r>
      <w:r w:rsidR="009E036D">
        <w:t>Investor Government</w:t>
      </w:r>
      <w:r>
        <w:t xml:space="preserve"> as required by its rules]</w:t>
      </w:r>
    </w:p>
    <w:sectPr w:rsidR="00793D63" w:rsidRPr="005B5F13" w:rsidSect="002E1405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60882" w14:textId="77777777" w:rsidR="00251D2C" w:rsidRDefault="00251D2C" w:rsidP="00BE1E6F">
      <w:r>
        <w:separator/>
      </w:r>
    </w:p>
  </w:endnote>
  <w:endnote w:type="continuationSeparator" w:id="0">
    <w:p w14:paraId="462EE020" w14:textId="77777777" w:rsidR="00251D2C" w:rsidRDefault="00251D2C" w:rsidP="00BE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01BA7" w14:textId="4AE84F63" w:rsidR="00BE1E6F" w:rsidRDefault="00BE1E6F">
    <w:pPr>
      <w:pStyle w:val="Footer"/>
      <w:jc w:val="center"/>
    </w:pPr>
    <w:r>
      <w:t xml:space="preserve">Long Term Equity Investment Account Agreement, page </w:t>
    </w:r>
    <w:r>
      <w:fldChar w:fldCharType="begin"/>
    </w:r>
    <w:r>
      <w:instrText xml:space="preserve"> PAGE   \* MERGEFORMAT </w:instrText>
    </w:r>
    <w:r>
      <w:fldChar w:fldCharType="separate"/>
    </w:r>
    <w:r w:rsidR="00C4462E">
      <w:rPr>
        <w:noProof/>
      </w:rPr>
      <w:t>2</w:t>
    </w:r>
    <w:r>
      <w:rPr>
        <w:noProof/>
      </w:rPr>
      <w:fldChar w:fldCharType="end"/>
    </w:r>
  </w:p>
  <w:p w14:paraId="0491B37B" w14:textId="77777777" w:rsidR="00BE1E6F" w:rsidRDefault="00BE1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B408" w14:textId="77777777" w:rsidR="00251D2C" w:rsidRDefault="00251D2C" w:rsidP="00BE1E6F">
      <w:r>
        <w:separator/>
      </w:r>
    </w:p>
  </w:footnote>
  <w:footnote w:type="continuationSeparator" w:id="0">
    <w:p w14:paraId="288134B8" w14:textId="77777777" w:rsidR="00251D2C" w:rsidRDefault="00251D2C" w:rsidP="00BE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D"/>
    <w:rsid w:val="000064BD"/>
    <w:rsid w:val="00081B60"/>
    <w:rsid w:val="00094DFD"/>
    <w:rsid w:val="0012099B"/>
    <w:rsid w:val="00146533"/>
    <w:rsid w:val="00146F3D"/>
    <w:rsid w:val="00186741"/>
    <w:rsid w:val="00187B0F"/>
    <w:rsid w:val="00195B62"/>
    <w:rsid w:val="001D4BDD"/>
    <w:rsid w:val="00212674"/>
    <w:rsid w:val="002417AF"/>
    <w:rsid w:val="00251D2C"/>
    <w:rsid w:val="00266F35"/>
    <w:rsid w:val="00272AE3"/>
    <w:rsid w:val="0029010E"/>
    <w:rsid w:val="002B4051"/>
    <w:rsid w:val="002D19AE"/>
    <w:rsid w:val="002D618C"/>
    <w:rsid w:val="002E1405"/>
    <w:rsid w:val="002F121E"/>
    <w:rsid w:val="00315FF1"/>
    <w:rsid w:val="003211FC"/>
    <w:rsid w:val="00343D50"/>
    <w:rsid w:val="00351B2D"/>
    <w:rsid w:val="00394C98"/>
    <w:rsid w:val="003A0949"/>
    <w:rsid w:val="003A14BD"/>
    <w:rsid w:val="00413202"/>
    <w:rsid w:val="004270BA"/>
    <w:rsid w:val="00452A35"/>
    <w:rsid w:val="00457A4C"/>
    <w:rsid w:val="00460B58"/>
    <w:rsid w:val="00513A48"/>
    <w:rsid w:val="005B5F13"/>
    <w:rsid w:val="005E6022"/>
    <w:rsid w:val="00652190"/>
    <w:rsid w:val="0069260F"/>
    <w:rsid w:val="006960D9"/>
    <w:rsid w:val="006A53E3"/>
    <w:rsid w:val="007269AC"/>
    <w:rsid w:val="0075542D"/>
    <w:rsid w:val="0075762E"/>
    <w:rsid w:val="00787C04"/>
    <w:rsid w:val="00793D63"/>
    <w:rsid w:val="00795203"/>
    <w:rsid w:val="007C3FAC"/>
    <w:rsid w:val="00837BF1"/>
    <w:rsid w:val="00841BF7"/>
    <w:rsid w:val="00846594"/>
    <w:rsid w:val="008524CD"/>
    <w:rsid w:val="00877717"/>
    <w:rsid w:val="00890240"/>
    <w:rsid w:val="00897829"/>
    <w:rsid w:val="008A383A"/>
    <w:rsid w:val="008B1F19"/>
    <w:rsid w:val="008C37DC"/>
    <w:rsid w:val="008D0AF1"/>
    <w:rsid w:val="008F311F"/>
    <w:rsid w:val="009275A2"/>
    <w:rsid w:val="009C4C35"/>
    <w:rsid w:val="009E036D"/>
    <w:rsid w:val="00A14C1A"/>
    <w:rsid w:val="00A43015"/>
    <w:rsid w:val="00A44DF8"/>
    <w:rsid w:val="00A8025F"/>
    <w:rsid w:val="00A835BD"/>
    <w:rsid w:val="00A9290C"/>
    <w:rsid w:val="00AC1A19"/>
    <w:rsid w:val="00AC6E1A"/>
    <w:rsid w:val="00B5418E"/>
    <w:rsid w:val="00BE1E6F"/>
    <w:rsid w:val="00C1325E"/>
    <w:rsid w:val="00C33267"/>
    <w:rsid w:val="00C4462E"/>
    <w:rsid w:val="00CE0A89"/>
    <w:rsid w:val="00D47965"/>
    <w:rsid w:val="00D70913"/>
    <w:rsid w:val="00D8612D"/>
    <w:rsid w:val="00DA3DD8"/>
    <w:rsid w:val="00DF3BAD"/>
    <w:rsid w:val="00E200FC"/>
    <w:rsid w:val="00E76E93"/>
    <w:rsid w:val="00E85166"/>
    <w:rsid w:val="00EC210E"/>
    <w:rsid w:val="00EF7151"/>
    <w:rsid w:val="00F248B2"/>
    <w:rsid w:val="00F541E0"/>
    <w:rsid w:val="00F7587C"/>
    <w:rsid w:val="00F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E7C63"/>
  <w15:docId w15:val="{B032310B-2F20-4DF9-9CDC-E64A8460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F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4C3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852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4CD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524CD"/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793D6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E1E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1E6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1E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1E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13A48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3A48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PERA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subject/>
  <dc:creator>Dave Dejonge</dc:creator>
  <cp:keywords/>
  <dc:description/>
  <cp:lastModifiedBy>Tracy Gebhard</cp:lastModifiedBy>
  <cp:revision>2</cp:revision>
  <cp:lastPrinted>2017-08-09T20:20:00Z</cp:lastPrinted>
  <dcterms:created xsi:type="dcterms:W3CDTF">2024-03-13T20:43:00Z</dcterms:created>
  <dcterms:modified xsi:type="dcterms:W3CDTF">2024-03-13T20:43:00Z</dcterms:modified>
</cp:coreProperties>
</file>