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0F5C" w14:textId="77777777" w:rsidR="001725CA" w:rsidRPr="00B5162C" w:rsidRDefault="001725CA" w:rsidP="001725CA">
      <w:pPr>
        <w:spacing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E802BEA" w14:textId="4150690A" w:rsidR="001B3255" w:rsidRPr="000D6330" w:rsidRDefault="00CB5985" w:rsidP="001725CA">
      <w:pPr>
        <w:rPr>
          <w:rFonts w:ascii="Times New Roman" w:hAnsi="Times New Roman" w:cs="Times New Roman"/>
        </w:rPr>
      </w:pPr>
      <w:r w:rsidRPr="00CB5985">
        <w:rPr>
          <w:rFonts w:ascii="Times New Roman" w:hAnsi="Times New Roman" w:cs="Times New Roman"/>
        </w:rPr>
        <w:t>December 2</w:t>
      </w:r>
      <w:r w:rsidR="00FE14D3">
        <w:rPr>
          <w:rFonts w:ascii="Times New Roman" w:hAnsi="Times New Roman" w:cs="Times New Roman"/>
        </w:rPr>
        <w:t>2</w:t>
      </w:r>
      <w:r w:rsidRPr="00CB5985">
        <w:rPr>
          <w:rFonts w:ascii="Times New Roman" w:hAnsi="Times New Roman" w:cs="Times New Roman"/>
        </w:rPr>
        <w:t>, 2021</w:t>
      </w:r>
    </w:p>
    <w:p w14:paraId="462194A3" w14:textId="77777777" w:rsidR="00A022D2" w:rsidRPr="000D6330" w:rsidRDefault="00A022D2" w:rsidP="00A022D2">
      <w:pPr>
        <w:pStyle w:val="NoSpacing"/>
        <w:rPr>
          <w:rFonts w:ascii="Times New Roman" w:hAnsi="Times New Roman" w:cs="Times New Roman"/>
        </w:rPr>
      </w:pPr>
    </w:p>
    <w:p w14:paraId="115008F6" w14:textId="77777777" w:rsidR="00A022D2" w:rsidRPr="000D6330" w:rsidRDefault="00A022D2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>Mr. Mansco Perry III, Executive Director and Chief Investment Officer</w:t>
      </w:r>
    </w:p>
    <w:p w14:paraId="46746D61" w14:textId="77777777" w:rsidR="00A022D2" w:rsidRPr="000D6330" w:rsidRDefault="00A022D2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>Minnesota State Board of Investment</w:t>
      </w:r>
    </w:p>
    <w:p w14:paraId="7B94FBED" w14:textId="77777777" w:rsidR="00A022D2" w:rsidRPr="000D6330" w:rsidRDefault="00A022D2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>60 Empire Drive, Suite 355</w:t>
      </w:r>
    </w:p>
    <w:p w14:paraId="1D919D33" w14:textId="71047CF1" w:rsidR="00A022D2" w:rsidRPr="000D6330" w:rsidRDefault="00A022D2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>Saint Paul, M</w:t>
      </w:r>
      <w:r w:rsidR="00781BA6" w:rsidRPr="000D6330">
        <w:rPr>
          <w:rFonts w:ascii="Times New Roman" w:hAnsi="Times New Roman" w:cs="Times New Roman"/>
        </w:rPr>
        <w:t>N</w:t>
      </w:r>
      <w:r w:rsidR="00157D2E" w:rsidRPr="000D6330">
        <w:rPr>
          <w:rFonts w:ascii="Times New Roman" w:hAnsi="Times New Roman" w:cs="Times New Roman"/>
        </w:rPr>
        <w:t xml:space="preserve"> </w:t>
      </w:r>
      <w:r w:rsidR="00336BA5">
        <w:rPr>
          <w:rFonts w:ascii="Times New Roman" w:hAnsi="Times New Roman" w:cs="Times New Roman"/>
        </w:rPr>
        <w:t xml:space="preserve"> </w:t>
      </w:r>
      <w:r w:rsidR="00157D2E" w:rsidRPr="000D6330">
        <w:rPr>
          <w:rFonts w:ascii="Times New Roman" w:hAnsi="Times New Roman" w:cs="Times New Roman"/>
        </w:rPr>
        <w:t>55103</w:t>
      </w:r>
    </w:p>
    <w:p w14:paraId="764868CB" w14:textId="77777777" w:rsidR="00A022D2" w:rsidRPr="000D6330" w:rsidRDefault="00A022D2" w:rsidP="00A022D2">
      <w:pPr>
        <w:pStyle w:val="NoSpacing"/>
        <w:rPr>
          <w:rFonts w:ascii="Times New Roman" w:hAnsi="Times New Roman" w:cs="Times New Roman"/>
        </w:rPr>
      </w:pPr>
    </w:p>
    <w:p w14:paraId="52E92796" w14:textId="77777777" w:rsidR="00A022D2" w:rsidRPr="000D6330" w:rsidRDefault="00A022D2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>Dear Mr. Perry:</w:t>
      </w:r>
    </w:p>
    <w:p w14:paraId="55A07870" w14:textId="77777777" w:rsidR="00A022D2" w:rsidRPr="000D6330" w:rsidRDefault="00A022D2" w:rsidP="00A022D2">
      <w:pPr>
        <w:pStyle w:val="NoSpacing"/>
        <w:rPr>
          <w:rFonts w:ascii="Times New Roman" w:hAnsi="Times New Roman" w:cs="Times New Roman"/>
        </w:rPr>
      </w:pPr>
    </w:p>
    <w:p w14:paraId="08393D74" w14:textId="1195A590" w:rsidR="00AE381E" w:rsidRPr="000D6330" w:rsidRDefault="00AE381E" w:rsidP="00A022D2">
      <w:pPr>
        <w:pStyle w:val="NoSpacing"/>
      </w:pPr>
      <w:r w:rsidRPr="000D6330">
        <w:rPr>
          <w:rFonts w:ascii="Times New Roman" w:hAnsi="Times New Roman" w:cs="Times New Roman"/>
        </w:rPr>
        <w:t>The Office of the Legislative Auditor has completed its audit of certain financial activities at the Minn</w:t>
      </w:r>
      <w:r w:rsidR="004C477C" w:rsidRPr="000D6330">
        <w:rPr>
          <w:rFonts w:ascii="Times New Roman" w:hAnsi="Times New Roman" w:cs="Times New Roman"/>
        </w:rPr>
        <w:t>esota State Board of Investment</w:t>
      </w:r>
      <w:r w:rsidR="00C269C7">
        <w:rPr>
          <w:rFonts w:ascii="Times New Roman" w:hAnsi="Times New Roman" w:cs="Times New Roman"/>
        </w:rPr>
        <w:t xml:space="preserve"> (SBI)</w:t>
      </w:r>
      <w:r w:rsidRPr="000D6330">
        <w:rPr>
          <w:rFonts w:ascii="Times New Roman" w:hAnsi="Times New Roman" w:cs="Times New Roman"/>
        </w:rPr>
        <w:t xml:space="preserve">.  </w:t>
      </w:r>
      <w:r w:rsidR="003771B0" w:rsidRPr="000D6330">
        <w:rPr>
          <w:rFonts w:ascii="Times New Roman" w:hAnsi="Times New Roman" w:cs="Times New Roman"/>
        </w:rPr>
        <w:t>This work</w:t>
      </w:r>
      <w:r w:rsidRPr="000D6330">
        <w:rPr>
          <w:rFonts w:ascii="Times New Roman" w:hAnsi="Times New Roman" w:cs="Times New Roman"/>
        </w:rPr>
        <w:t xml:space="preserve"> support</w:t>
      </w:r>
      <w:r w:rsidR="003771B0" w:rsidRPr="000D6330">
        <w:rPr>
          <w:rFonts w:ascii="Times New Roman" w:hAnsi="Times New Roman" w:cs="Times New Roman"/>
        </w:rPr>
        <w:t>s</w:t>
      </w:r>
      <w:r w:rsidRPr="000D6330">
        <w:rPr>
          <w:rFonts w:ascii="Times New Roman" w:hAnsi="Times New Roman" w:cs="Times New Roman"/>
        </w:rPr>
        <w:t xml:space="preserve"> our audit of the State of Minnesota’s financial statements</w:t>
      </w:r>
      <w:r w:rsidR="002626AB">
        <w:rPr>
          <w:rFonts w:ascii="Times New Roman" w:hAnsi="Times New Roman" w:cs="Times New Roman"/>
        </w:rPr>
        <w:t xml:space="preserve"> for the</w:t>
      </w:r>
      <w:r w:rsidR="00336BA5">
        <w:rPr>
          <w:rFonts w:ascii="Times New Roman" w:hAnsi="Times New Roman" w:cs="Times New Roman"/>
        </w:rPr>
        <w:t xml:space="preserve"> fiscal</w:t>
      </w:r>
      <w:r w:rsidR="002626AB">
        <w:rPr>
          <w:rFonts w:ascii="Times New Roman" w:hAnsi="Times New Roman" w:cs="Times New Roman"/>
        </w:rPr>
        <w:t xml:space="preserve"> year ended June 30, 202</w:t>
      </w:r>
      <w:r w:rsidR="00497975">
        <w:rPr>
          <w:rFonts w:ascii="Times New Roman" w:hAnsi="Times New Roman" w:cs="Times New Roman"/>
        </w:rPr>
        <w:t>1</w:t>
      </w:r>
      <w:r w:rsidRPr="000D6330">
        <w:rPr>
          <w:rFonts w:ascii="Times New Roman" w:hAnsi="Times New Roman" w:cs="Times New Roman"/>
        </w:rPr>
        <w:t xml:space="preserve">.  The primary objective of the audit is to render an opinion on the State of Minnesota’s financial statements, which will be included in the </w:t>
      </w:r>
      <w:r w:rsidRPr="000D6330">
        <w:rPr>
          <w:rFonts w:ascii="Times New Roman" w:hAnsi="Times New Roman" w:cs="Times New Roman"/>
          <w:i/>
        </w:rPr>
        <w:t xml:space="preserve">Annual </w:t>
      </w:r>
      <w:r w:rsidR="00497975" w:rsidRPr="000D6330">
        <w:rPr>
          <w:rFonts w:ascii="Times New Roman" w:hAnsi="Times New Roman" w:cs="Times New Roman"/>
          <w:i/>
        </w:rPr>
        <w:t xml:space="preserve">Comprehensive </w:t>
      </w:r>
      <w:r w:rsidRPr="000D6330">
        <w:rPr>
          <w:rFonts w:ascii="Times New Roman" w:hAnsi="Times New Roman" w:cs="Times New Roman"/>
          <w:i/>
        </w:rPr>
        <w:t>Financial Report</w:t>
      </w:r>
      <w:r w:rsidRPr="004365C6">
        <w:rPr>
          <w:rFonts w:ascii="Times New Roman" w:hAnsi="Times New Roman" w:cs="Times New Roman"/>
        </w:rPr>
        <w:t>,</w:t>
      </w:r>
      <w:r w:rsidRPr="000D6330">
        <w:rPr>
          <w:rFonts w:ascii="Times New Roman" w:hAnsi="Times New Roman" w:cs="Times New Roman"/>
        </w:rPr>
        <w:t xml:space="preserve"> prepared by the Department of Management and Budget.  The work in your department also supports our audit opinions on the financial statements of the three state retirement systems:  Minnesota State Retirement System, Public Employees Retirement Association, and Teachers Retirement Association.  </w:t>
      </w:r>
      <w:r w:rsidR="004C477C" w:rsidRPr="000D6330">
        <w:rPr>
          <w:rFonts w:ascii="Times New Roman" w:hAnsi="Times New Roman" w:cs="Times New Roman"/>
        </w:rPr>
        <w:t>This is not a comprehensive audit of the Minnesota State Board of Investment.</w:t>
      </w:r>
    </w:p>
    <w:p w14:paraId="16F739AD" w14:textId="77777777" w:rsidR="00AE381E" w:rsidRPr="000D6330" w:rsidRDefault="00AE381E" w:rsidP="00A022D2">
      <w:pPr>
        <w:pStyle w:val="NoSpacing"/>
        <w:rPr>
          <w:rFonts w:ascii="Times New Roman" w:hAnsi="Times New Roman" w:cs="Times New Roman"/>
        </w:rPr>
      </w:pPr>
    </w:p>
    <w:p w14:paraId="256C4D9C" w14:textId="7E67A4BF" w:rsidR="00AE381E" w:rsidRPr="000D6330" w:rsidRDefault="00BA7A4C" w:rsidP="00B5162C">
      <w:pPr>
        <w:pStyle w:val="BodyText"/>
        <w:spacing w:after="0"/>
        <w:rPr>
          <w:sz w:val="22"/>
          <w:szCs w:val="22"/>
        </w:rPr>
      </w:pPr>
      <w:r w:rsidRPr="000D6330">
        <w:rPr>
          <w:sz w:val="22"/>
          <w:szCs w:val="22"/>
        </w:rPr>
        <w:t xml:space="preserve">In planning and performing this audit, we considered SBI’s internal control system to determine the </w:t>
      </w:r>
      <w:r w:rsidR="00B27F15">
        <w:rPr>
          <w:sz w:val="22"/>
          <w:szCs w:val="22"/>
        </w:rPr>
        <w:t xml:space="preserve">appropriate </w:t>
      </w:r>
      <w:r w:rsidRPr="000D6330">
        <w:rPr>
          <w:sz w:val="22"/>
          <w:szCs w:val="22"/>
        </w:rPr>
        <w:t>audit procedures.  We gained an understanding</w:t>
      </w:r>
      <w:r w:rsidR="00EF0472">
        <w:rPr>
          <w:sz w:val="22"/>
          <w:szCs w:val="22"/>
        </w:rPr>
        <w:t xml:space="preserve"> of</w:t>
      </w:r>
      <w:r w:rsidRPr="000D6330">
        <w:rPr>
          <w:sz w:val="22"/>
          <w:szCs w:val="22"/>
        </w:rPr>
        <w:t>, but did not test</w:t>
      </w:r>
      <w:r w:rsidR="00EF0472">
        <w:rPr>
          <w:sz w:val="22"/>
          <w:szCs w:val="22"/>
        </w:rPr>
        <w:t>,</w:t>
      </w:r>
      <w:r w:rsidRPr="000D6330">
        <w:rPr>
          <w:sz w:val="22"/>
          <w:szCs w:val="22"/>
        </w:rPr>
        <w:t xml:space="preserve"> SBI’s internal control</w:t>
      </w:r>
      <w:r w:rsidR="00E01D40" w:rsidRPr="000D6330">
        <w:rPr>
          <w:sz w:val="22"/>
          <w:szCs w:val="22"/>
        </w:rPr>
        <w:t>s</w:t>
      </w:r>
      <w:r w:rsidRPr="000D6330">
        <w:rPr>
          <w:sz w:val="22"/>
          <w:szCs w:val="22"/>
        </w:rPr>
        <w:t xml:space="preserve">.  </w:t>
      </w:r>
      <w:r w:rsidR="003A05ED" w:rsidRPr="000D6330">
        <w:rPr>
          <w:sz w:val="22"/>
          <w:szCs w:val="22"/>
        </w:rPr>
        <w:t>As part of this audit, w</w:t>
      </w:r>
      <w:r w:rsidRPr="000D6330">
        <w:rPr>
          <w:sz w:val="22"/>
          <w:szCs w:val="22"/>
        </w:rPr>
        <w:t>e</w:t>
      </w:r>
      <w:r w:rsidR="003A05ED" w:rsidRPr="000D6330">
        <w:rPr>
          <w:sz w:val="22"/>
          <w:szCs w:val="22"/>
        </w:rPr>
        <w:t xml:space="preserve"> also</w:t>
      </w:r>
      <w:r w:rsidRPr="000D6330">
        <w:rPr>
          <w:sz w:val="22"/>
          <w:szCs w:val="22"/>
        </w:rPr>
        <w:t xml:space="preserve"> reviewed certain investment</w:t>
      </w:r>
      <w:r w:rsidR="0003295A">
        <w:rPr>
          <w:sz w:val="22"/>
          <w:szCs w:val="22"/>
        </w:rPr>
        <w:t>-</w:t>
      </w:r>
      <w:r w:rsidRPr="000D6330">
        <w:rPr>
          <w:sz w:val="22"/>
          <w:szCs w:val="22"/>
        </w:rPr>
        <w:t xml:space="preserve">related financial activity presented in the financial statements </w:t>
      </w:r>
      <w:r w:rsidR="003A05ED" w:rsidRPr="000D6330">
        <w:rPr>
          <w:sz w:val="22"/>
          <w:szCs w:val="22"/>
        </w:rPr>
        <w:t xml:space="preserve">and notes to the financial statements </w:t>
      </w:r>
      <w:r w:rsidRPr="000D6330">
        <w:rPr>
          <w:sz w:val="22"/>
          <w:szCs w:val="22"/>
        </w:rPr>
        <w:t>for the State of Minnesota and the three state retirement systems.  This activity include</w:t>
      </w:r>
      <w:r w:rsidR="00F0538D">
        <w:rPr>
          <w:sz w:val="22"/>
          <w:szCs w:val="22"/>
        </w:rPr>
        <w:t>d</w:t>
      </w:r>
      <w:r w:rsidR="003A05ED" w:rsidRPr="000D6330">
        <w:rPr>
          <w:sz w:val="22"/>
          <w:szCs w:val="22"/>
        </w:rPr>
        <w:t xml:space="preserve">, but </w:t>
      </w:r>
      <w:r w:rsidR="00F0538D">
        <w:rPr>
          <w:sz w:val="22"/>
          <w:szCs w:val="22"/>
        </w:rPr>
        <w:t>wa</w:t>
      </w:r>
      <w:r w:rsidR="003A05ED" w:rsidRPr="000D6330">
        <w:rPr>
          <w:sz w:val="22"/>
          <w:szCs w:val="22"/>
        </w:rPr>
        <w:t>s not limited to,</w:t>
      </w:r>
      <w:r w:rsidRPr="000D6330">
        <w:rPr>
          <w:sz w:val="22"/>
          <w:szCs w:val="22"/>
        </w:rPr>
        <w:t xml:space="preserve"> </w:t>
      </w:r>
      <w:r w:rsidR="00AE381E" w:rsidRPr="000D6330">
        <w:rPr>
          <w:sz w:val="22"/>
          <w:szCs w:val="22"/>
        </w:rPr>
        <w:t xml:space="preserve">investment balances, investment fees, </w:t>
      </w:r>
      <w:r w:rsidRPr="000D6330">
        <w:rPr>
          <w:sz w:val="22"/>
          <w:szCs w:val="22"/>
        </w:rPr>
        <w:t xml:space="preserve">and </w:t>
      </w:r>
      <w:r w:rsidR="00AE381E" w:rsidRPr="000D6330">
        <w:rPr>
          <w:sz w:val="22"/>
          <w:szCs w:val="22"/>
        </w:rPr>
        <w:t>securities lending</w:t>
      </w:r>
      <w:r w:rsidRPr="000D6330">
        <w:rPr>
          <w:sz w:val="22"/>
          <w:szCs w:val="22"/>
        </w:rPr>
        <w:t xml:space="preserve">.  </w:t>
      </w:r>
    </w:p>
    <w:p w14:paraId="46EA1025" w14:textId="77777777" w:rsidR="00AE381E" w:rsidRPr="000D6330" w:rsidRDefault="00AE381E" w:rsidP="00A022D2">
      <w:pPr>
        <w:pStyle w:val="NoSpacing"/>
        <w:rPr>
          <w:rFonts w:ascii="Times New Roman" w:hAnsi="Times New Roman" w:cs="Times New Roman"/>
        </w:rPr>
      </w:pPr>
    </w:p>
    <w:p w14:paraId="1C7A374E" w14:textId="4858421F" w:rsidR="003A05ED" w:rsidRPr="000D6330" w:rsidRDefault="003A05ED" w:rsidP="003A05ED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 xml:space="preserve">On </w:t>
      </w:r>
      <w:r w:rsidRPr="004365C6">
        <w:rPr>
          <w:rFonts w:ascii="Times New Roman" w:hAnsi="Times New Roman" w:cs="Times New Roman"/>
        </w:rPr>
        <w:t xml:space="preserve">December </w:t>
      </w:r>
      <w:r w:rsidR="0081622D" w:rsidRPr="004365C6">
        <w:rPr>
          <w:rFonts w:ascii="Times New Roman" w:hAnsi="Times New Roman" w:cs="Times New Roman"/>
        </w:rPr>
        <w:t>1</w:t>
      </w:r>
      <w:r w:rsidR="001A2BA1" w:rsidRPr="004365C6">
        <w:rPr>
          <w:rFonts w:ascii="Times New Roman" w:hAnsi="Times New Roman" w:cs="Times New Roman"/>
        </w:rPr>
        <w:t>7</w:t>
      </w:r>
      <w:r w:rsidR="0081622D" w:rsidRPr="004365C6">
        <w:rPr>
          <w:rFonts w:ascii="Times New Roman" w:hAnsi="Times New Roman" w:cs="Times New Roman"/>
        </w:rPr>
        <w:t>, 202</w:t>
      </w:r>
      <w:r w:rsidR="001A2BA1" w:rsidRPr="004365C6">
        <w:rPr>
          <w:rFonts w:ascii="Times New Roman" w:hAnsi="Times New Roman" w:cs="Times New Roman"/>
        </w:rPr>
        <w:t>1</w:t>
      </w:r>
      <w:r w:rsidRPr="004365C6">
        <w:rPr>
          <w:rFonts w:ascii="Times New Roman" w:hAnsi="Times New Roman" w:cs="Times New Roman"/>
        </w:rPr>
        <w:t xml:space="preserve">, we issued an unqualified (clean) opinion on the State of Minnesota’s </w:t>
      </w:r>
      <w:r w:rsidR="00497975" w:rsidRPr="004365C6">
        <w:rPr>
          <w:rFonts w:ascii="Times New Roman" w:hAnsi="Times New Roman" w:cs="Times New Roman"/>
          <w:i/>
        </w:rPr>
        <w:t xml:space="preserve">Annual </w:t>
      </w:r>
      <w:r w:rsidRPr="004365C6">
        <w:rPr>
          <w:rFonts w:ascii="Times New Roman" w:hAnsi="Times New Roman" w:cs="Times New Roman"/>
          <w:i/>
        </w:rPr>
        <w:t>Comprehensive Financial Report</w:t>
      </w:r>
      <w:r w:rsidRPr="004365C6">
        <w:rPr>
          <w:rFonts w:ascii="Times New Roman" w:hAnsi="Times New Roman" w:cs="Times New Roman"/>
        </w:rPr>
        <w:t xml:space="preserve"> for the </w:t>
      </w:r>
      <w:r w:rsidR="00336BA5" w:rsidRPr="004365C6">
        <w:rPr>
          <w:rFonts w:ascii="Times New Roman" w:hAnsi="Times New Roman" w:cs="Times New Roman"/>
        </w:rPr>
        <w:t>f</w:t>
      </w:r>
      <w:r w:rsidRPr="004365C6">
        <w:rPr>
          <w:rFonts w:ascii="Times New Roman" w:hAnsi="Times New Roman" w:cs="Times New Roman"/>
        </w:rPr>
        <w:t xml:space="preserve">iscal year ended </w:t>
      </w:r>
      <w:r w:rsidR="002626AB" w:rsidRPr="004365C6">
        <w:rPr>
          <w:rFonts w:ascii="Times New Roman" w:hAnsi="Times New Roman" w:cs="Times New Roman"/>
        </w:rPr>
        <w:t>June 30, 202</w:t>
      </w:r>
      <w:r w:rsidR="00497975" w:rsidRPr="004365C6">
        <w:rPr>
          <w:rFonts w:ascii="Times New Roman" w:hAnsi="Times New Roman" w:cs="Times New Roman"/>
        </w:rPr>
        <w:t>1</w:t>
      </w:r>
      <w:r w:rsidRPr="004365C6">
        <w:rPr>
          <w:rFonts w:ascii="Times New Roman" w:hAnsi="Times New Roman" w:cs="Times New Roman"/>
        </w:rPr>
        <w:t xml:space="preserve">.  In addition, we issued an unqualified (clean) opinion on the financial statements of each of the three state retirement systems. </w:t>
      </w:r>
      <w:r w:rsidR="002F0AD1" w:rsidRPr="004365C6">
        <w:rPr>
          <w:rFonts w:ascii="Times New Roman" w:hAnsi="Times New Roman" w:cs="Times New Roman"/>
        </w:rPr>
        <w:t xml:space="preserve"> </w:t>
      </w:r>
      <w:r w:rsidRPr="004365C6">
        <w:rPr>
          <w:rFonts w:ascii="Times New Roman" w:hAnsi="Times New Roman" w:cs="Times New Roman"/>
        </w:rPr>
        <w:t xml:space="preserve">We also provided the state and </w:t>
      </w:r>
      <w:r w:rsidR="001D4EF8" w:rsidRPr="004365C6">
        <w:rPr>
          <w:rFonts w:ascii="Times New Roman" w:hAnsi="Times New Roman" w:cs="Times New Roman"/>
        </w:rPr>
        <w:t xml:space="preserve">the </w:t>
      </w:r>
      <w:r w:rsidRPr="004365C6">
        <w:rPr>
          <w:rFonts w:ascii="Times New Roman" w:hAnsi="Times New Roman" w:cs="Times New Roman"/>
        </w:rPr>
        <w:t xml:space="preserve">three state retirement systems with a report on the </w:t>
      </w:r>
      <w:r w:rsidR="00C203CC" w:rsidRPr="004365C6">
        <w:rPr>
          <w:rFonts w:ascii="Times New Roman" w:hAnsi="Times New Roman" w:cs="Times New Roman"/>
        </w:rPr>
        <w:t>i</w:t>
      </w:r>
      <w:r w:rsidRPr="004365C6">
        <w:rPr>
          <w:rFonts w:ascii="Times New Roman" w:hAnsi="Times New Roman" w:cs="Times New Roman"/>
        </w:rPr>
        <w:t xml:space="preserve">nternal </w:t>
      </w:r>
      <w:r w:rsidR="00C203CC" w:rsidRPr="004365C6">
        <w:rPr>
          <w:rFonts w:ascii="Times New Roman" w:hAnsi="Times New Roman" w:cs="Times New Roman"/>
        </w:rPr>
        <w:t>c</w:t>
      </w:r>
      <w:r w:rsidRPr="004365C6">
        <w:rPr>
          <w:rFonts w:ascii="Times New Roman" w:hAnsi="Times New Roman" w:cs="Times New Roman"/>
        </w:rPr>
        <w:t>ontrol</w:t>
      </w:r>
      <w:r w:rsidR="004365C6" w:rsidRPr="004365C6">
        <w:rPr>
          <w:rFonts w:ascii="Times New Roman" w:hAnsi="Times New Roman" w:cs="Times New Roman"/>
        </w:rPr>
        <w:t xml:space="preserve"> </w:t>
      </w:r>
      <w:r w:rsidRPr="004365C6">
        <w:rPr>
          <w:rFonts w:ascii="Times New Roman" w:hAnsi="Times New Roman" w:cs="Times New Roman"/>
        </w:rPr>
        <w:t xml:space="preserve">over </w:t>
      </w:r>
      <w:r w:rsidR="00C203CC" w:rsidRPr="004365C6">
        <w:rPr>
          <w:rFonts w:ascii="Times New Roman" w:hAnsi="Times New Roman" w:cs="Times New Roman"/>
        </w:rPr>
        <w:t>f</w:t>
      </w:r>
      <w:r w:rsidRPr="004365C6">
        <w:rPr>
          <w:rFonts w:ascii="Times New Roman" w:hAnsi="Times New Roman" w:cs="Times New Roman"/>
        </w:rPr>
        <w:t xml:space="preserve">inancial </w:t>
      </w:r>
      <w:r w:rsidR="00C203CC" w:rsidRPr="004365C6">
        <w:rPr>
          <w:rFonts w:ascii="Times New Roman" w:hAnsi="Times New Roman" w:cs="Times New Roman"/>
        </w:rPr>
        <w:t>r</w:t>
      </w:r>
      <w:r w:rsidRPr="004365C6">
        <w:rPr>
          <w:rFonts w:ascii="Times New Roman" w:hAnsi="Times New Roman" w:cs="Times New Roman"/>
        </w:rPr>
        <w:t>eporting.  For the</w:t>
      </w:r>
      <w:r w:rsidR="002626AB" w:rsidRPr="004365C6">
        <w:rPr>
          <w:rFonts w:ascii="Times New Roman" w:hAnsi="Times New Roman" w:cs="Times New Roman"/>
        </w:rPr>
        <w:t xml:space="preserve"> fiscal year ending June 30, 202</w:t>
      </w:r>
      <w:r w:rsidR="00497975" w:rsidRPr="004365C6">
        <w:rPr>
          <w:rFonts w:ascii="Times New Roman" w:hAnsi="Times New Roman" w:cs="Times New Roman"/>
        </w:rPr>
        <w:t>1</w:t>
      </w:r>
      <w:r w:rsidRPr="004365C6">
        <w:rPr>
          <w:rFonts w:ascii="Times New Roman" w:hAnsi="Times New Roman" w:cs="Times New Roman"/>
        </w:rPr>
        <w:t>, we had no written findings or recommendations directed toward the Minnesota State Board of Investment</w:t>
      </w:r>
      <w:r w:rsidRPr="000D6330">
        <w:rPr>
          <w:rFonts w:ascii="Times New Roman" w:hAnsi="Times New Roman" w:cs="Times New Roman"/>
        </w:rPr>
        <w:t xml:space="preserve">.  </w:t>
      </w:r>
    </w:p>
    <w:p w14:paraId="17A87957" w14:textId="77777777" w:rsidR="009E0430" w:rsidRPr="000D6330" w:rsidRDefault="009E0430" w:rsidP="00A022D2">
      <w:pPr>
        <w:pStyle w:val="NoSpacing"/>
        <w:rPr>
          <w:rFonts w:ascii="Times New Roman" w:hAnsi="Times New Roman" w:cs="Times New Roman"/>
        </w:rPr>
      </w:pPr>
    </w:p>
    <w:p w14:paraId="3543B574" w14:textId="77777777" w:rsidR="00D82AE4" w:rsidRPr="000D6330" w:rsidRDefault="00D82AE4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 xml:space="preserve">We appreciate the cooperation and assistance provided by the staff and administration of the State Board of Investment throughout our audit process.  </w:t>
      </w:r>
    </w:p>
    <w:p w14:paraId="0194FB7C" w14:textId="77777777" w:rsidR="00D82AE4" w:rsidRPr="000D6330" w:rsidRDefault="00D82AE4" w:rsidP="00A022D2">
      <w:pPr>
        <w:pStyle w:val="NoSpacing"/>
        <w:rPr>
          <w:rFonts w:ascii="Times New Roman" w:hAnsi="Times New Roman" w:cs="Times New Roman"/>
        </w:rPr>
      </w:pPr>
    </w:p>
    <w:p w14:paraId="4B807D71" w14:textId="77777777" w:rsidR="00D82AE4" w:rsidRPr="000D6330" w:rsidRDefault="00D82AE4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 xml:space="preserve">Sincerely, </w:t>
      </w:r>
    </w:p>
    <w:p w14:paraId="1B593723" w14:textId="77777777" w:rsidR="00D82AE4" w:rsidRPr="000D6330" w:rsidRDefault="00D95CBB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  <w:noProof/>
        </w:rPr>
        <w:drawing>
          <wp:inline distT="0" distB="0" distL="0" distR="0" wp14:anchorId="469718E6" wp14:editId="2DA31190">
            <wp:extent cx="1800225" cy="571500"/>
            <wp:effectExtent l="0" t="0" r="9525" b="0"/>
            <wp:docPr id="1" name="Picture 1" descr="U:\FAD-DATA\Mgr-Report-Drafts\Tracy\Tracy G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FAD-DATA\Mgr-Report-Drafts\Tracy\Tracy G 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0BE9" w14:textId="77777777" w:rsidR="00D82AE4" w:rsidRPr="000D6330" w:rsidRDefault="001F692B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>Tracy Gebhard, CPA</w:t>
      </w:r>
    </w:p>
    <w:p w14:paraId="7EC6CD72" w14:textId="77777777" w:rsidR="00D82AE4" w:rsidRPr="000D6330" w:rsidRDefault="00D82AE4" w:rsidP="00A022D2">
      <w:pPr>
        <w:pStyle w:val="NoSpacing"/>
        <w:rPr>
          <w:rFonts w:ascii="Times New Roman" w:hAnsi="Times New Roman" w:cs="Times New Roman"/>
        </w:rPr>
      </w:pPr>
      <w:r w:rsidRPr="000D6330">
        <w:rPr>
          <w:rFonts w:ascii="Times New Roman" w:hAnsi="Times New Roman" w:cs="Times New Roman"/>
        </w:rPr>
        <w:t>Audit Director</w:t>
      </w:r>
    </w:p>
    <w:p w14:paraId="2BC48C85" w14:textId="77777777" w:rsidR="00D82AE4" w:rsidRPr="000D6330" w:rsidRDefault="00D82AE4" w:rsidP="00A022D2">
      <w:pPr>
        <w:pStyle w:val="NoSpacing"/>
        <w:rPr>
          <w:rFonts w:ascii="Times New Roman" w:hAnsi="Times New Roman" w:cs="Times New Roman"/>
        </w:rPr>
      </w:pPr>
    </w:p>
    <w:p w14:paraId="2E4F98C5" w14:textId="04C76353" w:rsidR="0071230F" w:rsidRPr="00B5162C" w:rsidRDefault="00A818DA" w:rsidP="00E64A6E">
      <w:pPr>
        <w:pStyle w:val="NoSpacing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1230F" w:rsidRPr="000D6330">
        <w:rPr>
          <w:rFonts w:ascii="Times New Roman" w:hAnsi="Times New Roman" w:cs="Times New Roman"/>
        </w:rPr>
        <w:t>c:</w:t>
      </w:r>
      <w:r w:rsidR="0071230F" w:rsidRPr="000D6330">
        <w:rPr>
          <w:rFonts w:ascii="Times New Roman" w:hAnsi="Times New Roman" w:cs="Times New Roman"/>
        </w:rPr>
        <w:tab/>
        <w:t xml:space="preserve">Paul Anderson, </w:t>
      </w:r>
      <w:r w:rsidR="00D13EC2" w:rsidRPr="000D6330">
        <w:rPr>
          <w:rFonts w:ascii="Times New Roman" w:hAnsi="Times New Roman" w:cs="Times New Roman"/>
        </w:rPr>
        <w:t>Director</w:t>
      </w:r>
      <w:r w:rsidR="00224212">
        <w:rPr>
          <w:rFonts w:ascii="Times New Roman" w:hAnsi="Times New Roman" w:cs="Times New Roman"/>
        </w:rPr>
        <w:t>,</w:t>
      </w:r>
      <w:r w:rsidR="00D13EC2" w:rsidRPr="000D6330">
        <w:rPr>
          <w:rFonts w:ascii="Times New Roman" w:hAnsi="Times New Roman" w:cs="Times New Roman"/>
        </w:rPr>
        <w:t xml:space="preserve"> Financial Services </w:t>
      </w:r>
      <w:r w:rsidR="00224212">
        <w:rPr>
          <w:rFonts w:ascii="Times New Roman" w:hAnsi="Times New Roman" w:cs="Times New Roman"/>
        </w:rPr>
        <w:t>and</w:t>
      </w:r>
      <w:r w:rsidR="00D13EC2" w:rsidRPr="000D6330">
        <w:rPr>
          <w:rFonts w:ascii="Times New Roman" w:hAnsi="Times New Roman" w:cs="Times New Roman"/>
        </w:rPr>
        <w:t xml:space="preserve"> Operations</w:t>
      </w:r>
    </w:p>
    <w:p w14:paraId="3EA477DC" w14:textId="77777777" w:rsidR="0071230F" w:rsidRPr="00B5162C" w:rsidRDefault="0071230F" w:rsidP="00B5162C">
      <w:pPr>
        <w:pStyle w:val="NoSpacing"/>
        <w:ind w:left="450" w:hanging="450"/>
        <w:rPr>
          <w:rFonts w:ascii="Times New Roman" w:hAnsi="Times New Roman" w:cs="Times New Roman"/>
        </w:rPr>
      </w:pPr>
      <w:r w:rsidRPr="00B5162C">
        <w:rPr>
          <w:rFonts w:ascii="Times New Roman" w:hAnsi="Times New Roman" w:cs="Times New Roman"/>
        </w:rPr>
        <w:tab/>
      </w:r>
    </w:p>
    <w:sectPr w:rsidR="0071230F" w:rsidRPr="00B5162C" w:rsidSect="00D7790B">
      <w:headerReference w:type="default" r:id="rId7"/>
      <w:headerReference w:type="first" r:id="rId8"/>
      <w:footerReference w:type="first" r:id="rId9"/>
      <w:pgSz w:w="12240" w:h="15840" w:code="1"/>
      <w:pgMar w:top="1440" w:right="1296" w:bottom="1440" w:left="1584" w:header="720" w:footer="720" w:gutter="0"/>
      <w:paperSrc w:first="2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CECFF" w14:textId="77777777" w:rsidR="00A818DA" w:rsidRDefault="00A818DA" w:rsidP="005254D9">
      <w:pPr>
        <w:spacing w:after="0" w:line="240" w:lineRule="auto"/>
      </w:pPr>
      <w:r>
        <w:separator/>
      </w:r>
    </w:p>
  </w:endnote>
  <w:endnote w:type="continuationSeparator" w:id="0">
    <w:p w14:paraId="0789F074" w14:textId="77777777" w:rsidR="00A818DA" w:rsidRDefault="00A818DA" w:rsidP="0052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463C" w14:textId="77777777" w:rsidR="00A818DA" w:rsidRPr="00A67C0D" w:rsidRDefault="00A818DA" w:rsidP="00D7790B">
    <w:pPr>
      <w:pStyle w:val="Footer"/>
      <w:pBdr>
        <w:bottom w:val="single" w:sz="4" w:space="1" w:color="333399"/>
      </w:pBdr>
      <w:tabs>
        <w:tab w:val="left" w:pos="180"/>
      </w:tabs>
      <w:jc w:val="center"/>
      <w:rPr>
        <w:rFonts w:ascii="Palatino" w:hAnsi="Palatino"/>
        <w:b/>
        <w:color w:val="333399"/>
        <w:sz w:val="15"/>
        <w:szCs w:val="15"/>
      </w:rPr>
    </w:pPr>
    <w:r w:rsidRPr="00A67C0D">
      <w:rPr>
        <w:rFonts w:ascii="Palatino" w:hAnsi="Palatino"/>
        <w:b/>
        <w:color w:val="333399"/>
        <w:sz w:val="16"/>
        <w:szCs w:val="16"/>
      </w:rPr>
      <w:t xml:space="preserve">Room 140 Centennial Building, 658 Cedar Street, St. Paul, Minnesota 55155-1603 </w:t>
    </w:r>
    <w:r w:rsidRPr="00A67C0D">
      <w:rPr>
        <w:rFonts w:ascii="Palatino" w:hAnsi="Palatino"/>
        <w:b/>
        <w:color w:val="333399"/>
        <w:sz w:val="18"/>
        <w:szCs w:val="18"/>
      </w:rPr>
      <w:t>•</w:t>
    </w:r>
    <w:r w:rsidRPr="00A67C0D">
      <w:rPr>
        <w:rFonts w:ascii="Palatino" w:hAnsi="Palatino"/>
        <w:b/>
        <w:color w:val="333399"/>
        <w:sz w:val="16"/>
        <w:szCs w:val="16"/>
      </w:rPr>
      <w:t xml:space="preserve"> Phone: 651-296-4708 </w:t>
    </w:r>
    <w:r w:rsidRPr="00A67C0D">
      <w:rPr>
        <w:rFonts w:ascii="Palatino" w:hAnsi="Palatino"/>
        <w:b/>
        <w:color w:val="333399"/>
        <w:sz w:val="18"/>
        <w:szCs w:val="18"/>
      </w:rPr>
      <w:t>•</w:t>
    </w:r>
    <w:r w:rsidRPr="00A67C0D">
      <w:rPr>
        <w:rFonts w:ascii="Palatino" w:hAnsi="Palatino"/>
        <w:b/>
        <w:color w:val="333399"/>
        <w:sz w:val="16"/>
        <w:szCs w:val="16"/>
      </w:rPr>
      <w:t xml:space="preserve"> Fax: 651-296-4712</w:t>
    </w:r>
  </w:p>
  <w:p w14:paraId="107C6A5B" w14:textId="77777777" w:rsidR="00A818DA" w:rsidRPr="00A67C0D" w:rsidRDefault="00A818DA" w:rsidP="00D7790B">
    <w:pPr>
      <w:pStyle w:val="Footer"/>
      <w:jc w:val="center"/>
      <w:rPr>
        <w:color w:val="333399"/>
        <w:sz w:val="16"/>
        <w:szCs w:val="16"/>
      </w:rPr>
    </w:pPr>
    <w:r w:rsidRPr="00A67C0D">
      <w:rPr>
        <w:rFonts w:ascii="Palatino" w:hAnsi="Palatino"/>
        <w:b/>
        <w:color w:val="333399"/>
        <w:sz w:val="16"/>
        <w:szCs w:val="16"/>
      </w:rPr>
      <w:t xml:space="preserve">E-mail:  legislative.auditor@state.mn.us  </w:t>
    </w:r>
    <w:r w:rsidRPr="00A67C0D">
      <w:rPr>
        <w:rFonts w:ascii="Palatino" w:hAnsi="Palatino"/>
        <w:b/>
        <w:color w:val="333399"/>
        <w:sz w:val="18"/>
        <w:szCs w:val="18"/>
      </w:rPr>
      <w:t>•</w:t>
    </w:r>
    <w:r w:rsidRPr="00A67C0D">
      <w:rPr>
        <w:rFonts w:ascii="Palatino" w:hAnsi="Palatino"/>
        <w:b/>
        <w:color w:val="333399"/>
        <w:sz w:val="16"/>
        <w:szCs w:val="16"/>
      </w:rPr>
      <w:t xml:space="preserve"> Web</w:t>
    </w:r>
    <w:r>
      <w:rPr>
        <w:rFonts w:ascii="Palatino" w:hAnsi="Palatino"/>
        <w:b/>
        <w:color w:val="333399"/>
        <w:sz w:val="16"/>
        <w:szCs w:val="16"/>
      </w:rPr>
      <w:t>s</w:t>
    </w:r>
    <w:r w:rsidRPr="00A67C0D">
      <w:rPr>
        <w:rFonts w:ascii="Palatino" w:hAnsi="Palatino"/>
        <w:b/>
        <w:color w:val="333399"/>
        <w:sz w:val="16"/>
        <w:szCs w:val="16"/>
      </w:rPr>
      <w:t>ite:  www.auditor.leg.state.mn.us</w:t>
    </w:r>
    <w:r w:rsidRPr="00A67C0D">
      <w:rPr>
        <w:rFonts w:ascii="Palatino" w:hAnsi="Palatino"/>
        <w:b/>
        <w:color w:val="333399"/>
        <w:sz w:val="14"/>
        <w:szCs w:val="14"/>
      </w:rPr>
      <w:t xml:space="preserve"> </w:t>
    </w:r>
    <w:r w:rsidRPr="00A67C0D">
      <w:rPr>
        <w:rFonts w:ascii="Palatino" w:hAnsi="Palatino"/>
        <w:b/>
        <w:color w:val="333399"/>
        <w:sz w:val="18"/>
        <w:szCs w:val="18"/>
      </w:rPr>
      <w:t>•</w:t>
    </w:r>
    <w:r w:rsidRPr="00A67C0D">
      <w:rPr>
        <w:rFonts w:ascii="Palatino" w:hAnsi="Palatino"/>
        <w:b/>
        <w:color w:val="333399"/>
        <w:sz w:val="14"/>
        <w:szCs w:val="14"/>
      </w:rPr>
      <w:t xml:space="preserve"> </w:t>
    </w:r>
    <w:r w:rsidRPr="00A67C0D">
      <w:rPr>
        <w:rFonts w:ascii="Palatino" w:hAnsi="Palatino"/>
        <w:b/>
        <w:color w:val="333399"/>
        <w:sz w:val="16"/>
        <w:szCs w:val="16"/>
      </w:rPr>
      <w:t>Minnesota Relay: 1-800-627-3529 or 7-1-1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91DB5" w14:textId="77777777" w:rsidR="00A818DA" w:rsidRDefault="00A818DA" w:rsidP="005254D9">
      <w:pPr>
        <w:spacing w:after="0" w:line="240" w:lineRule="auto"/>
      </w:pPr>
      <w:r>
        <w:separator/>
      </w:r>
    </w:p>
  </w:footnote>
  <w:footnote w:type="continuationSeparator" w:id="0">
    <w:p w14:paraId="1A18E47B" w14:textId="77777777" w:rsidR="00A818DA" w:rsidRDefault="00A818DA" w:rsidP="0052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EE55" w14:textId="77777777" w:rsidR="00A818DA" w:rsidRPr="00CD14C1" w:rsidRDefault="00A818DA" w:rsidP="00AE0CD4">
    <w:pPr>
      <w:pStyle w:val="NoSpacing"/>
      <w:rPr>
        <w:rFonts w:ascii="Times New Roman" w:hAnsi="Times New Roman" w:cs="Times New Roman"/>
        <w:sz w:val="24"/>
        <w:szCs w:val="24"/>
      </w:rPr>
    </w:pPr>
    <w:r w:rsidRPr="00CD14C1">
      <w:rPr>
        <w:rFonts w:ascii="Times New Roman" w:hAnsi="Times New Roman" w:cs="Times New Roman"/>
        <w:sz w:val="24"/>
        <w:szCs w:val="24"/>
      </w:rPr>
      <w:t>Mr. Mansco Perry III, Executive Director and Chief Investment Officer</w:t>
    </w:r>
  </w:p>
  <w:p w14:paraId="7A201183" w14:textId="77777777" w:rsidR="00A818DA" w:rsidRPr="00CD14C1" w:rsidRDefault="00A818DA" w:rsidP="00AE0CD4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CD14C1">
      <w:rPr>
        <w:rFonts w:ascii="Times New Roman" w:hAnsi="Times New Roman" w:cs="Times New Roman"/>
        <w:sz w:val="24"/>
        <w:szCs w:val="24"/>
      </w:rPr>
      <w:t>January 12, 2018</w:t>
    </w:r>
  </w:p>
  <w:p w14:paraId="3B4CB83D" w14:textId="77777777" w:rsidR="00A818DA" w:rsidRPr="00CD14C1" w:rsidRDefault="00A818DA" w:rsidP="00AE0CD4">
    <w:pPr>
      <w:pStyle w:val="Header"/>
      <w:tabs>
        <w:tab w:val="clear" w:pos="4680"/>
        <w:tab w:val="clear" w:pos="9360"/>
        <w:tab w:val="left" w:pos="1956"/>
      </w:tabs>
      <w:rPr>
        <w:rFonts w:ascii="Times New Roman" w:hAnsi="Times New Roman" w:cs="Times New Roman"/>
        <w:sz w:val="24"/>
        <w:szCs w:val="24"/>
      </w:rPr>
    </w:pPr>
    <w:r w:rsidRPr="00CD14C1">
      <w:rPr>
        <w:rFonts w:ascii="Times New Roman" w:hAnsi="Times New Roman" w:cs="Times New Roman"/>
        <w:sz w:val="24"/>
        <w:szCs w:val="24"/>
      </w:rPr>
      <w:t>Page 2</w:t>
    </w:r>
  </w:p>
  <w:p w14:paraId="0944DA80" w14:textId="77777777" w:rsidR="00A818DA" w:rsidRDefault="00A818DA" w:rsidP="00AE0CD4">
    <w:pPr>
      <w:pStyle w:val="Header"/>
      <w:tabs>
        <w:tab w:val="clear" w:pos="4680"/>
        <w:tab w:val="clear" w:pos="9360"/>
        <w:tab w:val="left" w:pos="1956"/>
      </w:tabs>
      <w:rPr>
        <w:rFonts w:ascii="Times New Roman" w:hAnsi="Times New Roman" w:cs="Times New Roman"/>
        <w:sz w:val="20"/>
        <w:szCs w:val="20"/>
      </w:rPr>
    </w:pPr>
  </w:p>
  <w:p w14:paraId="317F07EA" w14:textId="77777777" w:rsidR="00A818DA" w:rsidRPr="005254D9" w:rsidRDefault="00A818DA" w:rsidP="00AE0CD4">
    <w:pPr>
      <w:pStyle w:val="Header"/>
      <w:tabs>
        <w:tab w:val="clear" w:pos="4680"/>
        <w:tab w:val="clear" w:pos="9360"/>
        <w:tab w:val="left" w:pos="1956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835C3" w14:textId="77777777" w:rsidR="00A818DA" w:rsidRPr="00B20CC5" w:rsidRDefault="00A818DA" w:rsidP="00D7790B">
    <w:pPr>
      <w:keepNext/>
      <w:tabs>
        <w:tab w:val="left" w:pos="2160"/>
      </w:tabs>
      <w:spacing w:after="0"/>
      <w:outlineLvl w:val="5"/>
      <w:rPr>
        <w:rFonts w:ascii="Palatino" w:hAnsi="Palatino"/>
        <w:b/>
        <w:smallCaps/>
        <w:color w:val="333399"/>
        <w:szCs w:val="24"/>
      </w:rPr>
    </w:pPr>
  </w:p>
  <w:p w14:paraId="31537ED7" w14:textId="77777777" w:rsidR="00A818DA" w:rsidRPr="00A67C0D" w:rsidRDefault="00A818DA" w:rsidP="00D7790B">
    <w:pPr>
      <w:keepNext/>
      <w:pBdr>
        <w:top w:val="single" w:sz="6" w:space="3" w:color="333399"/>
      </w:pBdr>
      <w:tabs>
        <w:tab w:val="left" w:pos="2070"/>
      </w:tabs>
      <w:spacing w:after="0"/>
      <w:outlineLvl w:val="5"/>
      <w:rPr>
        <w:rFonts w:ascii="Palatino" w:hAnsi="Palatino"/>
        <w:b/>
        <w:smallCaps/>
        <w:color w:val="333399"/>
        <w:sz w:val="36"/>
      </w:rPr>
    </w:pPr>
    <w:r>
      <w:rPr>
        <w:rFonts w:ascii="Palatino" w:hAnsi="Palatino"/>
        <w:b/>
        <w:smallCaps/>
        <w:noProof/>
        <w:color w:val="333399"/>
        <w:sz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B2DD09" wp14:editId="16D648C9">
              <wp:simplePos x="0" y="0"/>
              <wp:positionH relativeFrom="column">
                <wp:posOffset>-17145</wp:posOffset>
              </wp:positionH>
              <wp:positionV relativeFrom="paragraph">
                <wp:posOffset>56515</wp:posOffset>
              </wp:positionV>
              <wp:extent cx="1196340" cy="457200"/>
              <wp:effectExtent l="11430" t="8890" r="11430" b="10160"/>
              <wp:wrapNone/>
              <wp:docPr id="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6340" cy="457200"/>
                        <a:chOff x="1413" y="1098"/>
                        <a:chExt cx="1884" cy="720"/>
                      </a:xfrm>
                    </wpg:grpSpPr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413" y="1098"/>
                          <a:ext cx="619" cy="72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086F" w14:textId="77777777" w:rsidR="00A818DA" w:rsidRPr="00436FAE" w:rsidRDefault="00A818DA" w:rsidP="007D622A">
                            <w:pPr>
                              <w:pStyle w:val="Heading2"/>
                              <w:rPr>
                                <w:rFonts w:ascii="Georgia" w:hAnsi="Georgia"/>
                                <w:color w:val="FFFFFF"/>
                                <w:sz w:val="64"/>
                                <w:szCs w:val="64"/>
                                <w:u w:val="none"/>
                              </w:rPr>
                            </w:pPr>
                            <w:r w:rsidRPr="00436FAE">
                              <w:rPr>
                                <w:rFonts w:ascii="Georgia" w:hAnsi="Georgia"/>
                                <w:color w:val="FFFFFF"/>
                                <w:sz w:val="64"/>
                                <w:szCs w:val="64"/>
                                <w:u w:val="none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045" y="1098"/>
                          <a:ext cx="619" cy="72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ED41" w14:textId="77777777" w:rsidR="00A818DA" w:rsidRPr="00436FAE" w:rsidRDefault="00A818DA" w:rsidP="007D622A">
                            <w:pPr>
                              <w:pStyle w:val="Heading2"/>
                              <w:rPr>
                                <w:rFonts w:ascii="Georgia" w:hAnsi="Georgia"/>
                                <w:color w:val="FFFFFF"/>
                                <w:sz w:val="64"/>
                                <w:szCs w:val="64"/>
                                <w:u w:val="none"/>
                              </w:rPr>
                            </w:pPr>
                            <w:r w:rsidRPr="00436FAE">
                              <w:rPr>
                                <w:rFonts w:ascii="Georgia" w:hAnsi="Georgia"/>
                                <w:color w:val="FFFFFF"/>
                                <w:sz w:val="64"/>
                                <w:szCs w:val="64"/>
                                <w:u w:val="none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678" y="1098"/>
                          <a:ext cx="619" cy="72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6404" w14:textId="77777777" w:rsidR="00A818DA" w:rsidRPr="00436FAE" w:rsidRDefault="00A818DA" w:rsidP="007D622A">
                            <w:pPr>
                              <w:pStyle w:val="Heading2"/>
                              <w:rPr>
                                <w:rFonts w:ascii="Georgia" w:hAnsi="Georgia"/>
                                <w:color w:val="FFFFFF"/>
                                <w:sz w:val="64"/>
                                <w:szCs w:val="64"/>
                                <w:u w:val="none"/>
                              </w:rPr>
                            </w:pPr>
                            <w:r w:rsidRPr="00436FAE">
                              <w:rPr>
                                <w:rFonts w:ascii="Georgia" w:hAnsi="Georgia"/>
                                <w:color w:val="FFFFFF"/>
                                <w:sz w:val="64"/>
                                <w:szCs w:val="64"/>
                                <w:u w:val="non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2DD09" id="Group 10" o:spid="_x0000_s1026" style="position:absolute;margin-left:-1.35pt;margin-top:4.45pt;width:94.2pt;height:36pt;z-index:251659264" coordorigin="1413,1098" coordsize="18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1413;top:1098;width:61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" fillcolor="#339" strokecolor="white">
                <v:textbox inset="3.6pt,0,0,0">
                  <w:txbxContent>
                    <w:p w14:paraId="35B3086F" w14:textId="77777777" w:rsidR="00A818DA" w:rsidRPr="00436FAE" w:rsidRDefault="00A818DA" w:rsidP="007D622A">
                      <w:pPr>
                        <w:pStyle w:val="Heading2"/>
                        <w:rPr>
                          <w:rFonts w:ascii="Georgia" w:hAnsi="Georgia"/>
                          <w:color w:val="FFFFFF"/>
                          <w:sz w:val="64"/>
                          <w:szCs w:val="64"/>
                          <w:u w:val="none"/>
                        </w:rPr>
                      </w:pPr>
                      <w:r w:rsidRPr="00436FAE">
                        <w:rPr>
                          <w:rFonts w:ascii="Georgia" w:hAnsi="Georgia"/>
                          <w:color w:val="FFFFFF"/>
                          <w:sz w:val="64"/>
                          <w:szCs w:val="64"/>
                          <w:u w:val="none"/>
                        </w:rPr>
                        <w:t>O</w:t>
                      </w:r>
                    </w:p>
                  </w:txbxContent>
                </v:textbox>
              </v:shape>
              <v:shape id="Text Box 6" o:spid="_x0000_s1028" type="#_x0000_t202" style="position:absolute;left:2045;top:1098;width:61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" fillcolor="#339" strokecolor="white">
                <v:textbox inset="3.6pt,0,0,0">
                  <w:txbxContent>
                    <w:p w14:paraId="2134ED41" w14:textId="77777777" w:rsidR="00A818DA" w:rsidRPr="00436FAE" w:rsidRDefault="00A818DA" w:rsidP="007D622A">
                      <w:pPr>
                        <w:pStyle w:val="Heading2"/>
                        <w:rPr>
                          <w:rFonts w:ascii="Georgia" w:hAnsi="Georgia"/>
                          <w:color w:val="FFFFFF"/>
                          <w:sz w:val="64"/>
                          <w:szCs w:val="64"/>
                          <w:u w:val="none"/>
                        </w:rPr>
                      </w:pPr>
                      <w:r w:rsidRPr="00436FAE">
                        <w:rPr>
                          <w:rFonts w:ascii="Georgia" w:hAnsi="Georgia"/>
                          <w:color w:val="FFFFFF"/>
                          <w:sz w:val="64"/>
                          <w:szCs w:val="64"/>
                          <w:u w:val="none"/>
                        </w:rPr>
                        <w:t>L</w:t>
                      </w:r>
                    </w:p>
                  </w:txbxContent>
                </v:textbox>
              </v:shape>
              <v:shape id="Text Box 7" o:spid="_x0000_s1029" type="#_x0000_t202" style="position:absolute;left:2678;top:1098;width:61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" fillcolor="#339" strokecolor="white">
                <v:textbox inset="3.6pt,0,0,0">
                  <w:txbxContent>
                    <w:p w14:paraId="42786404" w14:textId="77777777" w:rsidR="00A818DA" w:rsidRPr="00436FAE" w:rsidRDefault="00A818DA" w:rsidP="007D622A">
                      <w:pPr>
                        <w:pStyle w:val="Heading2"/>
                        <w:rPr>
                          <w:rFonts w:ascii="Georgia" w:hAnsi="Georgia"/>
                          <w:color w:val="FFFFFF"/>
                          <w:sz w:val="64"/>
                          <w:szCs w:val="64"/>
                          <w:u w:val="none"/>
                        </w:rPr>
                      </w:pPr>
                      <w:r w:rsidRPr="00436FAE">
                        <w:rPr>
                          <w:rFonts w:ascii="Georgia" w:hAnsi="Georgia"/>
                          <w:color w:val="FFFFFF"/>
                          <w:sz w:val="64"/>
                          <w:szCs w:val="64"/>
                          <w:u w:val="none"/>
                        </w:rPr>
                        <w:t>A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A67C0D">
      <w:rPr>
        <w:rFonts w:ascii="Palatino" w:hAnsi="Palatino"/>
        <w:b/>
        <w:smallCaps/>
        <w:color w:val="333399"/>
        <w:sz w:val="36"/>
      </w:rPr>
      <w:tab/>
      <w:t>Office of the Legislative Auditor</w:t>
    </w:r>
  </w:p>
  <w:p w14:paraId="6B35C177" w14:textId="0155B611" w:rsidR="00A818DA" w:rsidRDefault="00A818DA" w:rsidP="00D7790B">
    <w:pPr>
      <w:tabs>
        <w:tab w:val="left" w:pos="2070"/>
      </w:tabs>
      <w:spacing w:after="0"/>
      <w:rPr>
        <w:rFonts w:ascii="Palatino" w:hAnsi="Palatino"/>
        <w:color w:val="333399"/>
        <w:sz w:val="21"/>
        <w:szCs w:val="21"/>
      </w:rPr>
    </w:pPr>
    <w:r w:rsidRPr="00A67C0D">
      <w:rPr>
        <w:rFonts w:ascii="Palatino" w:hAnsi="Palatino"/>
        <w:b/>
        <w:color w:val="333399"/>
      </w:rPr>
      <w:tab/>
    </w:r>
    <w:r w:rsidRPr="002560A3">
      <w:rPr>
        <w:rFonts w:ascii="Palatino" w:hAnsi="Palatino"/>
        <w:b/>
        <w:color w:val="333399"/>
        <w:sz w:val="8"/>
        <w:szCs w:val="8"/>
      </w:rPr>
      <w:t xml:space="preserve"> </w:t>
    </w:r>
    <w:r w:rsidRPr="00A67C0D">
      <w:rPr>
        <w:rFonts w:ascii="Palatino" w:hAnsi="Palatino"/>
        <w:color w:val="333399"/>
        <w:sz w:val="21"/>
        <w:szCs w:val="21"/>
      </w:rPr>
      <w:t>STATE OF MINNESOTA</w:t>
    </w:r>
    <w:r w:rsidRPr="00A67C0D">
      <w:rPr>
        <w:rFonts w:ascii="Palatino" w:hAnsi="Palatino"/>
        <w:b/>
        <w:color w:val="333399"/>
        <w:sz w:val="21"/>
        <w:szCs w:val="21"/>
      </w:rPr>
      <w:t xml:space="preserve">   •   </w:t>
    </w:r>
    <w:r>
      <w:rPr>
        <w:rFonts w:ascii="Palatino" w:hAnsi="Palatino"/>
        <w:color w:val="333399"/>
        <w:sz w:val="21"/>
        <w:szCs w:val="21"/>
      </w:rPr>
      <w:t>Judy Randall, Legislative Auditor</w:t>
    </w:r>
  </w:p>
  <w:p w14:paraId="084BD763" w14:textId="77777777" w:rsidR="00A818DA" w:rsidRPr="007D622A" w:rsidRDefault="00A818DA" w:rsidP="00D7790B">
    <w:pPr>
      <w:tabs>
        <w:tab w:val="left" w:pos="2070"/>
      </w:tabs>
      <w:spacing w:after="0"/>
      <w:rPr>
        <w:rFonts w:ascii="Palatino" w:hAnsi="Palatino"/>
        <w:color w:val="333399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D2"/>
    <w:rsid w:val="00007B77"/>
    <w:rsid w:val="00015717"/>
    <w:rsid w:val="0003295A"/>
    <w:rsid w:val="000330F3"/>
    <w:rsid w:val="000428A2"/>
    <w:rsid w:val="00081299"/>
    <w:rsid w:val="000B662B"/>
    <w:rsid w:val="000C7242"/>
    <w:rsid w:val="000D6330"/>
    <w:rsid w:val="000E2878"/>
    <w:rsid w:val="000E3D7F"/>
    <w:rsid w:val="001000F7"/>
    <w:rsid w:val="001159DF"/>
    <w:rsid w:val="00157D2E"/>
    <w:rsid w:val="00165BA9"/>
    <w:rsid w:val="001725CA"/>
    <w:rsid w:val="00194EB4"/>
    <w:rsid w:val="00197CA0"/>
    <w:rsid w:val="001A2BA1"/>
    <w:rsid w:val="001B3255"/>
    <w:rsid w:val="001D4EF8"/>
    <w:rsid w:val="001F692B"/>
    <w:rsid w:val="002008ED"/>
    <w:rsid w:val="002057B5"/>
    <w:rsid w:val="00224212"/>
    <w:rsid w:val="002423AE"/>
    <w:rsid w:val="002626AB"/>
    <w:rsid w:val="002B5D30"/>
    <w:rsid w:val="002D483F"/>
    <w:rsid w:val="002F0AD1"/>
    <w:rsid w:val="00316173"/>
    <w:rsid w:val="0032207C"/>
    <w:rsid w:val="00325829"/>
    <w:rsid w:val="00336BA5"/>
    <w:rsid w:val="003441E4"/>
    <w:rsid w:val="003771B0"/>
    <w:rsid w:val="003A05ED"/>
    <w:rsid w:val="00406F72"/>
    <w:rsid w:val="004168BF"/>
    <w:rsid w:val="00421E92"/>
    <w:rsid w:val="004365C6"/>
    <w:rsid w:val="0045640F"/>
    <w:rsid w:val="00465573"/>
    <w:rsid w:val="0048687E"/>
    <w:rsid w:val="00497975"/>
    <w:rsid w:val="004C477C"/>
    <w:rsid w:val="004F5D8C"/>
    <w:rsid w:val="0050232C"/>
    <w:rsid w:val="005105F6"/>
    <w:rsid w:val="005133D7"/>
    <w:rsid w:val="00517DA7"/>
    <w:rsid w:val="005254D9"/>
    <w:rsid w:val="00554D21"/>
    <w:rsid w:val="00561484"/>
    <w:rsid w:val="0058121F"/>
    <w:rsid w:val="00582611"/>
    <w:rsid w:val="005835D3"/>
    <w:rsid w:val="0058768D"/>
    <w:rsid w:val="005A2466"/>
    <w:rsid w:val="005F43F5"/>
    <w:rsid w:val="00606EC6"/>
    <w:rsid w:val="00612F95"/>
    <w:rsid w:val="00616C9A"/>
    <w:rsid w:val="006171DF"/>
    <w:rsid w:val="00661802"/>
    <w:rsid w:val="0067560C"/>
    <w:rsid w:val="00676BA0"/>
    <w:rsid w:val="006A3376"/>
    <w:rsid w:val="007063FA"/>
    <w:rsid w:val="0071230F"/>
    <w:rsid w:val="00717F39"/>
    <w:rsid w:val="007402A6"/>
    <w:rsid w:val="00781BA6"/>
    <w:rsid w:val="007D622A"/>
    <w:rsid w:val="0081622D"/>
    <w:rsid w:val="008564D3"/>
    <w:rsid w:val="008B33EA"/>
    <w:rsid w:val="008B72E0"/>
    <w:rsid w:val="008C7148"/>
    <w:rsid w:val="009676D4"/>
    <w:rsid w:val="009B2E3F"/>
    <w:rsid w:val="009C65AF"/>
    <w:rsid w:val="009E0430"/>
    <w:rsid w:val="00A022D2"/>
    <w:rsid w:val="00A06C91"/>
    <w:rsid w:val="00A30EE2"/>
    <w:rsid w:val="00A37F52"/>
    <w:rsid w:val="00A46789"/>
    <w:rsid w:val="00A53E91"/>
    <w:rsid w:val="00A768AD"/>
    <w:rsid w:val="00A818DA"/>
    <w:rsid w:val="00AA5625"/>
    <w:rsid w:val="00AD7D86"/>
    <w:rsid w:val="00AE0CD4"/>
    <w:rsid w:val="00AE381E"/>
    <w:rsid w:val="00B27F15"/>
    <w:rsid w:val="00B5162C"/>
    <w:rsid w:val="00B56661"/>
    <w:rsid w:val="00B72631"/>
    <w:rsid w:val="00B7275A"/>
    <w:rsid w:val="00B97018"/>
    <w:rsid w:val="00BA7A4C"/>
    <w:rsid w:val="00BE1B62"/>
    <w:rsid w:val="00C203CC"/>
    <w:rsid w:val="00C269C7"/>
    <w:rsid w:val="00C710D6"/>
    <w:rsid w:val="00C82E8E"/>
    <w:rsid w:val="00CA7DE2"/>
    <w:rsid w:val="00CB5985"/>
    <w:rsid w:val="00CD14C1"/>
    <w:rsid w:val="00D13EC2"/>
    <w:rsid w:val="00D25601"/>
    <w:rsid w:val="00D7790B"/>
    <w:rsid w:val="00D82AE4"/>
    <w:rsid w:val="00D95CBB"/>
    <w:rsid w:val="00DD303B"/>
    <w:rsid w:val="00DD6595"/>
    <w:rsid w:val="00DE3B45"/>
    <w:rsid w:val="00DE3D40"/>
    <w:rsid w:val="00E01D40"/>
    <w:rsid w:val="00E042E5"/>
    <w:rsid w:val="00E32C38"/>
    <w:rsid w:val="00E35E56"/>
    <w:rsid w:val="00E36175"/>
    <w:rsid w:val="00E460B2"/>
    <w:rsid w:val="00E64A6E"/>
    <w:rsid w:val="00E828FB"/>
    <w:rsid w:val="00E83BE5"/>
    <w:rsid w:val="00EA2BD1"/>
    <w:rsid w:val="00EF0472"/>
    <w:rsid w:val="00F00B44"/>
    <w:rsid w:val="00F0538D"/>
    <w:rsid w:val="00F30CFA"/>
    <w:rsid w:val="00F406B0"/>
    <w:rsid w:val="00FA454D"/>
    <w:rsid w:val="00FE14D3"/>
    <w:rsid w:val="00FE17F3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19B6CB1"/>
  <w15:docId w15:val="{63028511-B5A4-4851-83C2-A6C35B27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D62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2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4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D9"/>
  </w:style>
  <w:style w:type="paragraph" w:styleId="Footer">
    <w:name w:val="footer"/>
    <w:basedOn w:val="Normal"/>
    <w:link w:val="FooterChar"/>
    <w:unhideWhenUsed/>
    <w:rsid w:val="0052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54D9"/>
  </w:style>
  <w:style w:type="character" w:styleId="CommentReference">
    <w:name w:val="annotation reference"/>
    <w:basedOn w:val="DefaultParagraphFont"/>
    <w:uiPriority w:val="99"/>
    <w:semiHidden/>
    <w:unhideWhenUsed/>
    <w:rsid w:val="002D4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622A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E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A7A4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7A4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Legislative Auditor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moadmin</dc:creator>
  <cp:lastModifiedBy>Tracy Gebhard</cp:lastModifiedBy>
  <cp:revision>2</cp:revision>
  <cp:lastPrinted>2018-01-12T14:20:00Z</cp:lastPrinted>
  <dcterms:created xsi:type="dcterms:W3CDTF">2021-12-22T18:55:00Z</dcterms:created>
  <dcterms:modified xsi:type="dcterms:W3CDTF">2021-12-22T18:55:00Z</dcterms:modified>
</cp:coreProperties>
</file>